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01C3B" w14:textId="77777777" w:rsidR="00F06A13" w:rsidRPr="00976D87" w:rsidRDefault="00F06A13" w:rsidP="00F06A13">
      <w:pPr>
        <w:pStyle w:val="Heading1"/>
        <w:spacing w:before="0"/>
        <w:rPr>
          <w:rFonts w:ascii="Arial" w:hAnsi="Arial" w:cs="Arial"/>
        </w:rPr>
      </w:pPr>
      <w:r w:rsidRPr="00976D87">
        <w:rPr>
          <w:rFonts w:ascii="Arial" w:hAnsi="Arial" w:cs="Arial"/>
        </w:rPr>
        <w:t>Introduction</w:t>
      </w:r>
    </w:p>
    <w:p w14:paraId="23B7E930" w14:textId="77777777"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xml:space="preserve">), Northern Ireland Statistics and Research Agency (NISRA) and the Northern Ireland Housing Executive (NIHE). </w:t>
      </w:r>
      <w:r>
        <w:rPr>
          <w:rFonts w:ascii="Arial" w:hAnsi="Arial" w:cs="Arial"/>
        </w:rPr>
        <w:t>It</w:t>
      </w:r>
      <w:r w:rsidRPr="0055650F">
        <w:rPr>
          <w:rFonts w:ascii="Arial" w:hAnsi="Arial" w:cs="Arial"/>
        </w:rPr>
        <w:t xml:space="preserve"> presents a biannual summary of Homelessness statistics in Northern Ireland</w:t>
      </w:r>
      <w:r>
        <w:rPr>
          <w:rFonts w:ascii="Arial" w:hAnsi="Arial" w:cs="Arial"/>
        </w:rPr>
        <w:t xml:space="preserve"> and</w:t>
      </w:r>
      <w:r w:rsidRPr="0055650F">
        <w:rPr>
          <w:rFonts w:ascii="Arial" w:hAnsi="Arial" w:cs="Arial"/>
        </w:rPr>
        <w:t xml:space="preserve"> is currently divided into three </w:t>
      </w:r>
      <w:r>
        <w:rPr>
          <w:rFonts w:ascii="Arial" w:hAnsi="Arial" w:cs="Arial"/>
        </w:rPr>
        <w:t>sections. These sections are</w:t>
      </w:r>
      <w:r w:rsidRPr="0055650F">
        <w:rPr>
          <w:rFonts w:ascii="Arial" w:hAnsi="Arial" w:cs="Arial"/>
        </w:rPr>
        <w:t xml:space="preserve">: Homeless Presenters; Homeless Acceptances; and Temporary Accommodation. </w:t>
      </w:r>
    </w:p>
    <w:p w14:paraId="6179A3B0" w14:textId="77777777" w:rsidR="00F06A13" w:rsidRPr="002A0577" w:rsidRDefault="00F06A13" w:rsidP="00F06A13">
      <w:pPr>
        <w:ind w:right="26"/>
        <w:jc w:val="both"/>
        <w:rPr>
          <w:rFonts w:ascii="Arial" w:hAnsi="Arial" w:cs="Arial"/>
        </w:rPr>
      </w:pPr>
      <w:r w:rsidRPr="002A0577">
        <w:rPr>
          <w:rFonts w:ascii="Arial" w:hAnsi="Arial" w:cs="Arial"/>
        </w:rPr>
        <w:t>Homelessness figures presented in this report can be read in conjunction with those published in the quarterly Northern Ireland Housing:</w:t>
      </w:r>
    </w:p>
    <w:p w14:paraId="12897B32" w14:textId="77777777" w:rsidR="00F06A13" w:rsidRDefault="0089779A" w:rsidP="00F06A13">
      <w:pPr>
        <w:ind w:right="26"/>
        <w:jc w:val="both"/>
        <w:rPr>
          <w:rFonts w:ascii="Arial" w:hAnsi="Arial" w:cs="Arial"/>
        </w:rPr>
      </w:pPr>
      <w:hyperlink r:id="rId8" w:history="1">
        <w:r w:rsidR="00F06A13" w:rsidRPr="002330C4">
          <w:rPr>
            <w:rStyle w:val="Hyperlink"/>
            <w:rFonts w:ascii="Arial" w:hAnsi="Arial" w:cs="Arial"/>
          </w:rPr>
          <w:t>https://www.communities-ni.gov.uk/topics/housing-statistics</w:t>
        </w:r>
      </w:hyperlink>
    </w:p>
    <w:p w14:paraId="3F47E1FD" w14:textId="77777777" w:rsidR="00F06A13" w:rsidRPr="00976D87" w:rsidRDefault="00F06A13" w:rsidP="00F06A13">
      <w:pPr>
        <w:ind w:right="26"/>
        <w:jc w:val="both"/>
        <w:rPr>
          <w:rFonts w:ascii="Arial" w:hAnsi="Arial" w:cs="Arial"/>
        </w:rPr>
      </w:pPr>
      <w:r w:rsidRPr="00976D87">
        <w:rPr>
          <w:rFonts w:ascii="Arial" w:hAnsi="Arial" w:cs="Arial"/>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14:paraId="43B582EC" w14:textId="77777777" w:rsidR="00F06A13" w:rsidRPr="00976D87" w:rsidRDefault="0089779A" w:rsidP="00F06A13">
      <w:pPr>
        <w:jc w:val="both"/>
        <w:rPr>
          <w:rFonts w:ascii="Arial" w:hAnsi="Arial" w:cs="Arial"/>
        </w:rPr>
      </w:pPr>
      <w:hyperlink r:id="rId9" w:history="1">
        <w:r w:rsidR="00F06A13" w:rsidRPr="00976D87">
          <w:rPr>
            <w:rStyle w:val="Hyperlink"/>
            <w:rFonts w:ascii="Arial" w:hAnsi="Arial" w:cs="Arial"/>
          </w:rPr>
          <w:t>http://www.nihe.gov.uk/index/about/Reg_issues/homelessness_information.htm</w:t>
        </w:r>
      </w:hyperlink>
      <w:r w:rsidR="00F06A13" w:rsidRPr="00976D87">
        <w:rPr>
          <w:rFonts w:ascii="Arial" w:hAnsi="Arial" w:cs="Arial"/>
        </w:rPr>
        <w:t xml:space="preserve"> </w:t>
      </w:r>
    </w:p>
    <w:p w14:paraId="256C73AC" w14:textId="77777777"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14:paraId="4C9E6274" w14:textId="77777777" w:rsidR="00F06A13" w:rsidRDefault="0089779A" w:rsidP="00F06A13">
      <w:pPr>
        <w:jc w:val="both"/>
        <w:rPr>
          <w:rStyle w:val="Hyperlink"/>
          <w:rFonts w:ascii="Arial" w:hAnsi="Arial" w:cs="Arial"/>
        </w:rPr>
      </w:pPr>
      <w:hyperlink r:id="rId10" w:history="1">
        <w:r w:rsidR="00F06A13" w:rsidRPr="00976D87">
          <w:rPr>
            <w:rStyle w:val="Hyperlink"/>
            <w:rFonts w:ascii="Arial" w:hAnsi="Arial" w:cs="Arial"/>
          </w:rPr>
          <w:t>http://www.nihe.gov.uk/index/corporate/strategies/homelessness_strategy.htm</w:t>
        </w:r>
      </w:hyperlink>
    </w:p>
    <w:p w14:paraId="7333D53A" w14:textId="77777777"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utive collects information on presenters and statutorily homeless households for administrative purposes. This data is then used to generate the tables for this publication. This data is transferred to ASU in aggregated form,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14:paraId="26881127" w14:textId="77777777" w:rsidR="00F06A13" w:rsidRPr="002A0577" w:rsidRDefault="00F06A13" w:rsidP="00F06A13">
      <w:pPr>
        <w:jc w:val="both"/>
        <w:rPr>
          <w:rFonts w:ascii="Arial" w:hAnsi="Arial" w:cs="Arial"/>
        </w:rPr>
      </w:pPr>
      <w:r>
        <w:rPr>
          <w:rFonts w:ascii="Arial" w:hAnsi="Arial" w:cs="Arial"/>
        </w:rPr>
        <w:t xml:space="preserve">The main summary document is published alongside supplementary tables and this Quality Background Report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14:paraId="4D06BB0A" w14:textId="77777777" w:rsidR="00F06A13" w:rsidRDefault="00F06A13" w:rsidP="00F06A13">
      <w:pPr>
        <w:jc w:val="both"/>
        <w:rPr>
          <w:rFonts w:ascii="Arial" w:hAnsi="Arial" w:cs="Arial"/>
        </w:rPr>
      </w:pPr>
      <w:r w:rsidRPr="00976D87">
        <w:rPr>
          <w:rFonts w:ascii="Arial" w:hAnsi="Arial" w:cs="Arial"/>
        </w:rPr>
        <w:t xml:space="preserve">The following quality information relates to </w:t>
      </w:r>
      <w:r>
        <w:rPr>
          <w:rFonts w:ascii="Arial" w:hAnsi="Arial" w:cs="Arial"/>
        </w:rPr>
        <w:t xml:space="preserve">all tables. </w:t>
      </w:r>
      <w:r w:rsidRPr="00976D87">
        <w:rPr>
          <w:rFonts w:ascii="Arial" w:hAnsi="Arial" w:cs="Arial"/>
        </w:rPr>
        <w:t>Information relating to specific tables is noted as such.</w:t>
      </w:r>
    </w:p>
    <w:p w14:paraId="5851282E" w14:textId="77777777" w:rsidR="00F06A13" w:rsidRPr="00976D87" w:rsidRDefault="00F06A13" w:rsidP="00F06A13">
      <w:pPr>
        <w:jc w:val="both"/>
        <w:rPr>
          <w:rFonts w:ascii="Arial" w:hAnsi="Arial" w:cs="Arial"/>
        </w:rPr>
      </w:pPr>
    </w:p>
    <w:p w14:paraId="16425F7A" w14:textId="77777777" w:rsidR="00F06A13" w:rsidRPr="00A80F3B"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Relevance</w:t>
      </w:r>
    </w:p>
    <w:p w14:paraId="0B5593EE" w14:textId="77777777"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14:paraId="6D18C54F" w14:textId="77777777"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14:paraId="6A565C36" w14:textId="77777777" w:rsidR="00F06A13" w:rsidRPr="002A0577" w:rsidRDefault="00F06A13" w:rsidP="00F06A13">
      <w:pPr>
        <w:jc w:val="both"/>
        <w:rPr>
          <w:rFonts w:ascii="Arial" w:hAnsi="Arial" w:cs="Arial"/>
        </w:rPr>
      </w:pPr>
      <w:r>
        <w:rPr>
          <w:rFonts w:ascii="Arial" w:hAnsi="Arial" w:cs="Arial"/>
        </w:rPr>
        <w:t xml:space="preserve">As this is a new </w:t>
      </w:r>
      <w:r w:rsidRPr="002A0577">
        <w:rPr>
          <w:rFonts w:ascii="Arial" w:hAnsi="Arial" w:cs="Arial"/>
        </w:rPr>
        <w:t>publication, users are actively encouraged to provide feedback; additional information requirements will be considered for inclusion in future iterations, where possible.</w:t>
      </w:r>
    </w:p>
    <w:p w14:paraId="0E1C6ED8" w14:textId="77777777" w:rsidR="00F06A13" w:rsidRPr="002A0577" w:rsidRDefault="00F06A13" w:rsidP="00F06A13">
      <w:pPr>
        <w:jc w:val="both"/>
        <w:rPr>
          <w:rFonts w:ascii="Arial" w:hAnsi="Arial" w:cs="Arial"/>
        </w:rPr>
      </w:pPr>
      <w:proofErr w:type="gramStart"/>
      <w:r w:rsidRPr="002A0577">
        <w:rPr>
          <w:rFonts w:ascii="Arial" w:hAnsi="Arial" w:cs="Arial"/>
        </w:rPr>
        <w:lastRenderedPageBreak/>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14:paraId="73D5052B" w14:textId="77777777" w:rsidR="00F06A13" w:rsidRDefault="0089779A" w:rsidP="00F06A13">
      <w:pPr>
        <w:jc w:val="both"/>
        <w:rPr>
          <w:rFonts w:ascii="Arial" w:hAnsi="Arial" w:cs="Arial"/>
          <w:color w:val="FF0000"/>
        </w:rPr>
      </w:pPr>
      <w:hyperlink r:id="rId11" w:history="1">
        <w:r w:rsidR="00F06A13" w:rsidRPr="002330C4">
          <w:rPr>
            <w:rStyle w:val="Hyperlink"/>
            <w:rFonts w:ascii="Arial" w:hAnsi="Arial" w:cs="Arial"/>
          </w:rPr>
          <w:t>https://www.communities-ni.gov.uk/topics/housing-statistics</w:t>
        </w:r>
      </w:hyperlink>
    </w:p>
    <w:p w14:paraId="4E34455F" w14:textId="77777777" w:rsidR="00F06A13" w:rsidRPr="00BB2145" w:rsidRDefault="00F06A13" w:rsidP="00F06A13">
      <w:pPr>
        <w:jc w:val="both"/>
        <w:rPr>
          <w:rFonts w:ascii="Arial" w:hAnsi="Arial" w:cs="Arial"/>
          <w:color w:val="FF0000"/>
        </w:rPr>
      </w:pPr>
    </w:p>
    <w:p w14:paraId="46562601" w14:textId="77777777" w:rsidR="00F06A13" w:rsidRPr="002D3070" w:rsidRDefault="00F06A13" w:rsidP="00F06A13">
      <w:pPr>
        <w:pStyle w:val="Heading2"/>
        <w:rPr>
          <w:rFonts w:ascii="Arial" w:hAnsi="Arial" w:cs="Arial"/>
          <w:color w:val="003380" w:themeColor="accent1" w:themeShade="80"/>
          <w:sz w:val="36"/>
          <w:szCs w:val="36"/>
        </w:rPr>
      </w:pPr>
      <w:r w:rsidRPr="00E450BC">
        <w:rPr>
          <w:rFonts w:ascii="Arial" w:hAnsi="Arial" w:cs="Arial"/>
          <w:color w:val="003380" w:themeColor="accent1" w:themeShade="80"/>
          <w:sz w:val="36"/>
          <w:szCs w:val="36"/>
        </w:rPr>
        <w:t>Accuracy</w:t>
      </w:r>
    </w:p>
    <w:p w14:paraId="71FCBBB1" w14:textId="77777777" w:rsidR="00F06A13" w:rsidRDefault="00F06A13" w:rsidP="00F06A13">
      <w:pPr>
        <w:jc w:val="both"/>
        <w:rPr>
          <w:rFonts w:ascii="Arial" w:hAnsi="Arial" w:cs="Arial"/>
        </w:rPr>
      </w:pPr>
      <w:r>
        <w:rPr>
          <w:rFonts w:ascii="Arial" w:hAnsi="Arial" w:cs="Arial"/>
        </w:rPr>
        <w:t xml:space="preserve">Reports on the status of homelessness presentations are extracted from the Housing Management System for specified date parameters through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14:paraId="07B97282" w14:textId="77777777"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and audits are in place within Local Offices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14:paraId="706AACC8" w14:textId="77777777" w:rsidR="00F06A13" w:rsidRDefault="00F06A13" w:rsidP="00F06A13">
      <w:pPr>
        <w:jc w:val="both"/>
        <w:rPr>
          <w:rFonts w:ascii="Arial" w:hAnsi="Arial" w:cs="Arial"/>
        </w:rPr>
      </w:pPr>
      <w:r>
        <w:rPr>
          <w:rFonts w:ascii="Arial" w:hAnsi="Arial" w:cs="Arial"/>
        </w:rPr>
        <w:t>NIHE forwards aggregated data on Homelessness to ASU, at which point, further checks are carried out by way of trend analysis, row and column cross checking against totals and sub-totals, identification of anomalies and checks for cell completeness.  ASU follow a procedures manual which stipulates checks at numerous levels of management.</w:t>
      </w:r>
    </w:p>
    <w:p w14:paraId="3C7F4BB8" w14:textId="77777777" w:rsidR="00F06A13" w:rsidRDefault="00F06A13" w:rsidP="00F06A13">
      <w:pPr>
        <w:jc w:val="both"/>
        <w:rPr>
          <w:rFonts w:ascii="Arial" w:hAnsi="Arial" w:cs="Arial"/>
        </w:rPr>
      </w:pPr>
    </w:p>
    <w:p w14:paraId="47736067" w14:textId="77777777" w:rsidR="00F06A13" w:rsidRPr="00E450BC" w:rsidRDefault="00F06A13" w:rsidP="00F06A13">
      <w:pPr>
        <w:jc w:val="both"/>
        <w:rPr>
          <w:rFonts w:ascii="Arial" w:hAnsi="Arial" w:cs="Arial"/>
        </w:rPr>
      </w:pPr>
      <w:r w:rsidRPr="00580B48">
        <w:rPr>
          <w:rFonts w:ascii="Arial" w:eastAsiaTheme="majorEastAsia" w:hAnsi="Arial" w:cs="Arial"/>
          <w:color w:val="003380" w:themeColor="accent1" w:themeShade="80"/>
          <w:sz w:val="36"/>
          <w:szCs w:val="36"/>
        </w:rPr>
        <w:t>Timeliness</w:t>
      </w:r>
      <w:r>
        <w:rPr>
          <w:rFonts w:ascii="Arial" w:eastAsiaTheme="majorEastAsia" w:hAnsi="Arial" w:cs="Arial"/>
          <w:color w:val="003380" w:themeColor="accent1" w:themeShade="80"/>
          <w:sz w:val="36"/>
          <w:szCs w:val="36"/>
        </w:rPr>
        <w:t xml:space="preserve"> and Punctuality </w:t>
      </w:r>
    </w:p>
    <w:p w14:paraId="3046310D" w14:textId="77777777" w:rsidR="00F06A13"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roughly 6 months after the reporting period has finished. This 6 months grace allows the Housing Executive to extract data normally 2 weeks after the period end to ensure all outstanding keying has been completed and to carry out the necessary cross checks. It provides time to carry out trend analysis and to identify and investigate any anomalies that may occur through consultation with local staff.  </w:t>
      </w:r>
    </w:p>
    <w:p w14:paraId="0FD48D34" w14:textId="77777777" w:rsidR="00F06A13" w:rsidRPr="00F60AD2" w:rsidRDefault="00F06A13" w:rsidP="00F06A13">
      <w:pPr>
        <w:jc w:val="both"/>
        <w:rPr>
          <w:rFonts w:ascii="Arial" w:hAnsi="Arial" w:cs="Arial"/>
          <w:color w:val="FF0000"/>
        </w:rPr>
      </w:pPr>
      <w:r>
        <w:rPr>
          <w:rFonts w:ascii="Arial" w:hAnsi="Arial" w:cs="Arial"/>
        </w:rPr>
        <w:t>For example, a flood may cause a temporary spike in homelessness in a particular area which would not be reflective of a normal trend and would require additional explanation.</w:t>
      </w:r>
    </w:p>
    <w:p w14:paraId="6839B052" w14:textId="77777777" w:rsidR="00F06A13" w:rsidRDefault="00F06A13" w:rsidP="00F06A13">
      <w:pPr>
        <w:jc w:val="both"/>
        <w:rPr>
          <w:rFonts w:ascii="Arial" w:hAnsi="Arial" w:cs="Arial"/>
        </w:rPr>
      </w:pPr>
      <w:r>
        <w:rPr>
          <w:rFonts w:ascii="Arial" w:hAnsi="Arial" w:cs="Arial"/>
        </w:rPr>
        <w:t>ASU will typically place a formal request to NIHE for the homelessness data necessary to populate the report 6 weeks prior to publication date. NIHE forward the data to ASU within 2 weeks of it being requested.</w:t>
      </w:r>
    </w:p>
    <w:p w14:paraId="082E2EFB" w14:textId="77777777" w:rsidR="00F06A13" w:rsidRDefault="00F06A13" w:rsidP="00F06A13">
      <w:pPr>
        <w:jc w:val="both"/>
        <w:rPr>
          <w:rFonts w:ascii="Arial" w:hAnsi="Arial" w:cs="Arial"/>
        </w:rPr>
      </w:pPr>
      <w:r>
        <w:rPr>
          <w:rFonts w:ascii="Arial" w:hAnsi="Arial" w:cs="Arial"/>
        </w:rPr>
        <w:t xml:space="preserve">ASU also require time to undergo the analysis, create the report, quality assure it and carry out the publication process. </w:t>
      </w:r>
    </w:p>
    <w:p w14:paraId="6ECD09F4" w14:textId="77777777"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14:paraId="7A88B7F8" w14:textId="77777777"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14:paraId="4B03CD60" w14:textId="6A069509" w:rsidR="00F06A13" w:rsidRDefault="00F06A13" w:rsidP="00F06A13">
      <w:pPr>
        <w:jc w:val="both"/>
        <w:rPr>
          <w:rFonts w:ascii="Arial" w:eastAsiaTheme="majorEastAsia" w:hAnsi="Arial" w:cs="Arial"/>
          <w:color w:val="003380" w:themeColor="accent1" w:themeShade="80"/>
          <w:sz w:val="36"/>
          <w:szCs w:val="36"/>
        </w:rPr>
      </w:pPr>
      <w:r>
        <w:rPr>
          <w:rFonts w:ascii="Arial" w:eastAsiaTheme="majorEastAsia" w:hAnsi="Arial" w:cs="Arial"/>
          <w:color w:val="003380" w:themeColor="accent1" w:themeShade="80"/>
          <w:sz w:val="36"/>
          <w:szCs w:val="36"/>
        </w:rPr>
        <w:lastRenderedPageBreak/>
        <w:t>Accessibility and clarity</w:t>
      </w:r>
    </w:p>
    <w:p w14:paraId="6BEABFE7" w14:textId="5DC90E50"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excel format. </w:t>
      </w:r>
      <w:r w:rsidRPr="00976D87">
        <w:rPr>
          <w:rFonts w:ascii="Arial" w:hAnsi="Arial" w:cs="Arial"/>
        </w:rPr>
        <w:t>Requests for the information in different formats can be made by contacting t</w:t>
      </w:r>
      <w:r w:rsidR="00CB194F">
        <w:rPr>
          <w:rFonts w:ascii="Arial" w:hAnsi="Arial" w:cs="Arial"/>
        </w:rPr>
        <w:t xml:space="preserve">he Department for Communities. </w:t>
      </w:r>
      <w:r w:rsidRPr="00976D87">
        <w:rPr>
          <w:rFonts w:ascii="Arial" w:hAnsi="Arial" w:cs="Arial"/>
        </w:rPr>
        <w:t>Supporting and/or additional information may be available on request from the Housing Executive.</w:t>
      </w:r>
    </w:p>
    <w:p w14:paraId="27D0ED91" w14:textId="509F0C61"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14:paraId="153695D7" w14:textId="15F6BD0F" w:rsidR="00F06A1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The summary report will be published in both MS Word and PDF formats, while supporting tables will be available in MS Excel.</w:t>
      </w:r>
    </w:p>
    <w:p w14:paraId="466E8811" w14:textId="1CA09A6E"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14:paraId="1990627F" w14:textId="77777777" w:rsidR="00F06A13" w:rsidRDefault="00F06A13" w:rsidP="00F06A13">
      <w:pPr>
        <w:jc w:val="both"/>
        <w:rPr>
          <w:rFonts w:ascii="Arial" w:eastAsiaTheme="majorEastAsia" w:hAnsi="Arial" w:cs="Arial"/>
          <w:color w:val="003380" w:themeColor="accent1" w:themeShade="80"/>
          <w:sz w:val="36"/>
          <w:szCs w:val="36"/>
        </w:rPr>
      </w:pPr>
    </w:p>
    <w:p w14:paraId="1966BF1B" w14:textId="77777777" w:rsidR="00F06A13" w:rsidRPr="004920C7"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Coherence &amp; comparability</w:t>
      </w:r>
    </w:p>
    <w:p w14:paraId="131C0955" w14:textId="77777777" w:rsidR="00F06A13" w:rsidRPr="00976D87" w:rsidRDefault="00F06A13" w:rsidP="00F06A13">
      <w:pPr>
        <w:pStyle w:val="Subtitle"/>
        <w:spacing w:after="0"/>
        <w:rPr>
          <w:rFonts w:ascii="Arial" w:hAnsi="Arial" w:cs="Arial"/>
        </w:rPr>
      </w:pPr>
      <w:r w:rsidRPr="00976D87">
        <w:rPr>
          <w:rFonts w:ascii="Arial" w:hAnsi="Arial" w:cs="Arial"/>
        </w:rPr>
        <w:t>New Breakdowns</w:t>
      </w:r>
    </w:p>
    <w:p w14:paraId="359EB189" w14:textId="77777777" w:rsidR="00F06A13" w:rsidRPr="00976D87" w:rsidRDefault="00F06A13" w:rsidP="00F06A13">
      <w:pPr>
        <w:rPr>
          <w:rFonts w:ascii="Arial" w:hAnsi="Arial" w:cs="Arial"/>
          <w:sz w:val="24"/>
        </w:rPr>
      </w:pPr>
      <w:r w:rsidRPr="00976D87">
        <w:rPr>
          <w:rStyle w:val="SubtleEmphasis"/>
          <w:rFonts w:ascii="Arial" w:hAnsi="Arial" w:cs="Arial"/>
          <w:sz w:val="24"/>
        </w:rPr>
        <w:t>Accommodation Not Reasonable</w:t>
      </w:r>
      <w:r w:rsidRPr="00976D87">
        <w:rPr>
          <w:rFonts w:ascii="Arial" w:hAnsi="Arial" w:cs="Arial"/>
          <w:sz w:val="24"/>
        </w:rPr>
        <w:t>:</w:t>
      </w:r>
    </w:p>
    <w:p w14:paraId="240D9C54" w14:textId="77777777" w:rsidR="00F06A13" w:rsidRPr="00976D87" w:rsidRDefault="00F06A13" w:rsidP="00F06A13">
      <w:pPr>
        <w:rPr>
          <w:rFonts w:ascii="Arial" w:hAnsi="Arial" w:cs="Arial"/>
        </w:rPr>
      </w:pPr>
      <w:r w:rsidRPr="00976D87">
        <w:rPr>
          <w:rFonts w:ascii="Arial" w:hAnsi="Arial" w:cs="Arial"/>
        </w:rPr>
        <w:t xml:space="preserve">The breakdown of categories was not introduced until May 2018.  This means that all cases prior to this were recorded using the generic ANR reason.  All cases after this were recorded using the new category breakdowns. </w:t>
      </w:r>
    </w:p>
    <w:p w14:paraId="393307E6" w14:textId="77777777" w:rsidR="00F06A13" w:rsidRPr="00976D87" w:rsidRDefault="00F06A13" w:rsidP="00F06A13">
      <w:pPr>
        <w:jc w:val="both"/>
        <w:rPr>
          <w:rFonts w:ascii="Arial" w:hAnsi="Arial" w:cs="Arial"/>
        </w:rPr>
      </w:pPr>
      <w:r w:rsidRPr="00976D87">
        <w:rPr>
          <w:rFonts w:ascii="Arial" w:hAnsi="Arial" w:cs="Arial"/>
        </w:rPr>
        <w:t>Information on new categories:</w:t>
      </w:r>
    </w:p>
    <w:p w14:paraId="75C2E409"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p>
    <w:p w14:paraId="50B3132C"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Mental Health would be used where a household is unable to sustain the property due to a deterioration in their mental health caused by remaining at the property </w:t>
      </w:r>
    </w:p>
    <w:p w14:paraId="00F35A07"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Other would be used where a household experiences some unique event or circumstance which makes it unreasonable for them to continue to reside there and which is not covered by another category.</w:t>
      </w:r>
    </w:p>
    <w:p w14:paraId="12D16642"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p>
    <w:p w14:paraId="064CAFCC"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Physical health/disability would be used where a property becomes unsuitable for a person’s need due to their physical health, for example, no longer being able to manage stairs to a bathroom </w:t>
      </w:r>
    </w:p>
    <w:p w14:paraId="4700DE78"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Property Unfitness would be used where the property is in such a poor state of repair as to be detrimental to the residents’ well being</w:t>
      </w:r>
    </w:p>
    <w:p w14:paraId="07636A04" w14:textId="77777777"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violence would be used where an act of violence has been committed in the property making it unreasonable for a member of the household to continue to occupy.</w:t>
      </w:r>
    </w:p>
    <w:p w14:paraId="0BE6D11B" w14:textId="77777777" w:rsidR="00F06A13" w:rsidRDefault="00F06A13" w:rsidP="00F06A13">
      <w:pPr>
        <w:spacing w:after="0" w:line="240" w:lineRule="auto"/>
        <w:jc w:val="both"/>
        <w:rPr>
          <w:rFonts w:ascii="Arial" w:hAnsi="Arial" w:cs="Arial"/>
          <w:b/>
        </w:rPr>
      </w:pPr>
    </w:p>
    <w:p w14:paraId="30F0AE62" w14:textId="77777777" w:rsidR="00F06A13" w:rsidRPr="00D675C3" w:rsidRDefault="00F06A13" w:rsidP="00F06A13">
      <w:pPr>
        <w:spacing w:line="240" w:lineRule="auto"/>
        <w:jc w:val="both"/>
        <w:rPr>
          <w:rStyle w:val="SubtleEmphasis"/>
          <w:rFonts w:ascii="Arial" w:hAnsi="Arial" w:cs="Arial"/>
          <w:sz w:val="24"/>
        </w:rPr>
      </w:pPr>
      <w:r w:rsidRPr="00D675C3">
        <w:rPr>
          <w:rStyle w:val="SubtleEmphasis"/>
          <w:rFonts w:ascii="Arial" w:hAnsi="Arial" w:cs="Arial"/>
          <w:sz w:val="24"/>
        </w:rPr>
        <w:t>Intimidation</w:t>
      </w:r>
      <w:r>
        <w:rPr>
          <w:rStyle w:val="SubtleEmphasis"/>
          <w:rFonts w:ascii="Arial" w:hAnsi="Arial" w:cs="Arial"/>
          <w:sz w:val="24"/>
        </w:rPr>
        <w:t>:</w:t>
      </w:r>
    </w:p>
    <w:p w14:paraId="1C5EBA93" w14:textId="77777777" w:rsidR="00F06A13" w:rsidRPr="00976D87" w:rsidRDefault="00F06A13" w:rsidP="00F06A13">
      <w:pPr>
        <w:spacing w:after="0" w:line="240" w:lineRule="auto"/>
        <w:jc w:val="both"/>
        <w:rPr>
          <w:rFonts w:ascii="Arial" w:hAnsi="Arial" w:cs="Arial"/>
        </w:rPr>
      </w:pPr>
      <w:r w:rsidRPr="00976D87">
        <w:rPr>
          <w:rFonts w:ascii="Arial" w:hAnsi="Arial" w:cs="Arial"/>
        </w:rPr>
        <w:t xml:space="preserve">Intimidation is now broken down by the type of intimidation experienced. </w:t>
      </w:r>
    </w:p>
    <w:p w14:paraId="79284C20" w14:textId="77777777" w:rsidR="00F06A13" w:rsidRDefault="00F06A13" w:rsidP="00F06A13">
      <w:pPr>
        <w:pStyle w:val="ListParagraph"/>
        <w:ind w:left="0"/>
        <w:jc w:val="both"/>
        <w:rPr>
          <w:rFonts w:ascii="Arial" w:eastAsiaTheme="majorEastAsia" w:hAnsi="Arial" w:cs="Arial"/>
          <w:color w:val="0066FF" w:themeColor="accent1"/>
          <w:sz w:val="28"/>
          <w:szCs w:val="28"/>
          <w:lang w:eastAsia="en-US"/>
        </w:rPr>
      </w:pPr>
    </w:p>
    <w:p w14:paraId="19FD66B5" w14:textId="77777777" w:rsidR="00F06A13" w:rsidRPr="00976D87" w:rsidRDefault="00F06A13" w:rsidP="00F06A13">
      <w:pPr>
        <w:pStyle w:val="Subtitle"/>
        <w:spacing w:after="0"/>
        <w:rPr>
          <w:rFonts w:ascii="Arial" w:hAnsi="Arial" w:cs="Arial"/>
        </w:rPr>
      </w:pPr>
      <w:r w:rsidRPr="00976D87">
        <w:rPr>
          <w:rFonts w:ascii="Arial" w:hAnsi="Arial" w:cs="Arial"/>
        </w:rPr>
        <w:t>Dynamic Data</w:t>
      </w:r>
    </w:p>
    <w:p w14:paraId="2959E3A1" w14:textId="77777777"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Pr>
          <w:rFonts w:ascii="Arial" w:hAnsi="Arial" w:cs="Arial"/>
        </w:rPr>
        <w:t xml:space="preserve">Data which was reported on in previous ASU housing publications (Northern Ireland Housing Statistics and The Northern Ireland Housing Bulletin) was point in time data. </w:t>
      </w:r>
    </w:p>
    <w:p w14:paraId="787E61F7" w14:textId="77777777" w:rsidR="00F06A13" w:rsidRPr="00976D87" w:rsidRDefault="00F06A13" w:rsidP="00F06A13">
      <w:pPr>
        <w:jc w:val="both"/>
        <w:rPr>
          <w:rFonts w:ascii="Arial" w:hAnsi="Arial" w:cs="Arial"/>
        </w:rPr>
      </w:pPr>
      <w:r w:rsidRPr="00976D87">
        <w:rPr>
          <w:rFonts w:ascii="Arial" w:hAnsi="Arial" w:cs="Arial"/>
        </w:rPr>
        <w:t xml:space="preserve">The new reporting system now pulls data from the live system.  The data is dynamic and reflects the changing nature of the customer journey as it happens.  </w:t>
      </w:r>
    </w:p>
    <w:p w14:paraId="2E0FC051" w14:textId="77F2ADDD"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   </w:t>
      </w:r>
    </w:p>
    <w:p w14:paraId="2D51B88C" w14:textId="77777777" w:rsidR="00F06A13" w:rsidRPr="00D675C3" w:rsidRDefault="00F06A13" w:rsidP="00F06A13">
      <w:pPr>
        <w:jc w:val="both"/>
        <w:rPr>
          <w:rFonts w:ascii="Arial" w:eastAsiaTheme="majorEastAsia" w:hAnsi="Arial" w:cs="Arial"/>
          <w:color w:val="0066FF" w:themeColor="accent1"/>
          <w:sz w:val="28"/>
          <w:szCs w:val="28"/>
        </w:rPr>
      </w:pPr>
      <w:r w:rsidRPr="00D675C3">
        <w:rPr>
          <w:rFonts w:ascii="Arial" w:eastAsiaTheme="majorEastAsia" w:hAnsi="Arial" w:cs="Arial"/>
          <w:color w:val="0066FF" w:themeColor="accent1"/>
          <w:sz w:val="28"/>
          <w:szCs w:val="28"/>
        </w:rPr>
        <w:t>Presenting Reason/Established Reason</w:t>
      </w:r>
    </w:p>
    <w:p w14:paraId="33219386" w14:textId="77777777" w:rsidR="00F06A13" w:rsidRPr="00976D87" w:rsidRDefault="00F06A13" w:rsidP="00F06A13">
      <w:pPr>
        <w:jc w:val="both"/>
        <w:rPr>
          <w:rFonts w:ascii="Arial" w:hAnsi="Arial" w:cs="Arial"/>
        </w:rPr>
      </w:pPr>
      <w:r w:rsidRPr="00976D87">
        <w:rPr>
          <w:rFonts w:ascii="Arial" w:hAnsi="Arial" w:cs="Arial"/>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w:t>
      </w:r>
      <w:r>
        <w:rPr>
          <w:rFonts w:ascii="Arial" w:hAnsi="Arial" w:cs="Arial"/>
        </w:rPr>
        <w:t xml:space="preserve">minated most “no data” cases.  </w:t>
      </w:r>
    </w:p>
    <w:p w14:paraId="73E75127" w14:textId="3404E714" w:rsidR="00F06A13" w:rsidRPr="00F06A13" w:rsidRDefault="00F06A13" w:rsidP="00F06A13">
      <w:pPr>
        <w:jc w:val="both"/>
        <w:rPr>
          <w:rFonts w:ascii="Arial" w:hAnsi="Arial" w:cs="Arial"/>
        </w:rPr>
      </w:pPr>
      <w:r w:rsidRPr="00976D87">
        <w:rPr>
          <w:rFonts w:ascii="Arial" w:hAnsi="Arial" w:cs="Arial"/>
        </w:rPr>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now result in higher level of acceptances than</w:t>
      </w:r>
      <w:r>
        <w:rPr>
          <w:rFonts w:ascii="Arial" w:hAnsi="Arial" w:cs="Arial"/>
        </w:rPr>
        <w:t xml:space="preserve"> presentations in any category.</w:t>
      </w:r>
    </w:p>
    <w:p w14:paraId="0C212EF8" w14:textId="77777777" w:rsidR="00F06A13" w:rsidRPr="00580B48" w:rsidRDefault="00F06A13" w:rsidP="00F06A13">
      <w:pPr>
        <w:pStyle w:val="ListParagraph"/>
        <w:ind w:left="0"/>
        <w:jc w:val="both"/>
        <w:rPr>
          <w:rFonts w:ascii="Arial" w:eastAsiaTheme="majorEastAsia" w:hAnsi="Arial" w:cs="Arial"/>
          <w:color w:val="0066FF" w:themeColor="accent1"/>
          <w:sz w:val="28"/>
          <w:szCs w:val="28"/>
          <w:lang w:eastAsia="en-US"/>
        </w:rPr>
      </w:pPr>
      <w:r w:rsidRPr="00580B48">
        <w:rPr>
          <w:rFonts w:ascii="Arial" w:eastAsiaTheme="majorEastAsia" w:hAnsi="Arial" w:cs="Arial"/>
          <w:color w:val="0066FF" w:themeColor="accent1"/>
          <w:sz w:val="28"/>
          <w:szCs w:val="28"/>
          <w:lang w:eastAsia="en-US"/>
        </w:rPr>
        <w:t>UK Homelessness Statistics</w:t>
      </w:r>
    </w:p>
    <w:p w14:paraId="7013A5D9" w14:textId="77777777"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14:paraId="3CCE7A28" w14:textId="77777777"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2" w:history="1">
        <w:r w:rsidRPr="00976D87">
          <w:rPr>
            <w:rStyle w:val="Hyperlink"/>
            <w:rFonts w:ascii="Arial" w:hAnsi="Arial" w:cs="Arial"/>
          </w:rPr>
          <w:t>https://www.gov.uk/government/collections/homelessness-statistics</w:t>
        </w:r>
      </w:hyperlink>
      <w:r w:rsidRPr="00976D87">
        <w:rPr>
          <w:rStyle w:val="Hyperlink"/>
          <w:rFonts w:ascii="Arial" w:hAnsi="Arial" w:cs="Arial"/>
        </w:rPr>
        <w:t>.</w:t>
      </w:r>
    </w:p>
    <w:p w14:paraId="583121FA" w14:textId="77777777" w:rsidR="00F06A13" w:rsidRPr="00976D87" w:rsidRDefault="00F06A13" w:rsidP="00F06A13">
      <w:pPr>
        <w:rPr>
          <w:rFonts w:ascii="Arial" w:hAnsi="Arial" w:cs="Arial"/>
        </w:rPr>
      </w:pPr>
      <w:r>
        <w:rPr>
          <w:rFonts w:ascii="Arial" w:hAnsi="Arial" w:cs="Arial"/>
        </w:rPr>
        <w:t xml:space="preserve">Scotland: </w:t>
      </w:r>
      <w:hyperlink r:id="rId13" w:history="1">
        <w:r w:rsidRPr="00976D87">
          <w:rPr>
            <w:rStyle w:val="Hyperlink"/>
            <w:rFonts w:ascii="Arial" w:hAnsi="Arial" w:cs="Arial"/>
          </w:rPr>
          <w:t>http://www.scotland.gov.uk/Topics/Statistics/Browse/Housing-Regeneration/RefTables</w:t>
        </w:r>
      </w:hyperlink>
      <w:r w:rsidRPr="00976D87">
        <w:rPr>
          <w:rFonts w:ascii="Arial" w:hAnsi="Arial" w:cs="Arial"/>
          <w:color w:val="0000FF"/>
        </w:rPr>
        <w:t>.</w:t>
      </w:r>
    </w:p>
    <w:p w14:paraId="6FF15EAA" w14:textId="77777777" w:rsidR="00F06A13" w:rsidRPr="00976D87" w:rsidRDefault="00F06A13" w:rsidP="00F06A13">
      <w:pPr>
        <w:jc w:val="both"/>
        <w:rPr>
          <w:rFonts w:ascii="Arial" w:hAnsi="Arial" w:cs="Arial"/>
        </w:rPr>
      </w:pPr>
      <w:r>
        <w:rPr>
          <w:rFonts w:ascii="Arial" w:hAnsi="Arial" w:cs="Arial"/>
        </w:rPr>
        <w:t xml:space="preserve">Wales: </w:t>
      </w:r>
      <w:hyperlink r:id="rId14" w:history="1">
        <w:r w:rsidRPr="00976D87">
          <w:rPr>
            <w:rStyle w:val="Hyperlink"/>
            <w:rFonts w:ascii="Arial" w:hAnsi="Arial" w:cs="Arial"/>
          </w:rPr>
          <w:t>http://wales.gov.uk/statistics-and-research/homelessness/?lang=en</w:t>
        </w:r>
      </w:hyperlink>
    </w:p>
    <w:p w14:paraId="78DF89F9" w14:textId="4B191753" w:rsidR="00976D87" w:rsidRDefault="00F06A13" w:rsidP="00F06A13">
      <w:pPr>
        <w:jc w:val="both"/>
        <w:rPr>
          <w:rFonts w:ascii="Arial" w:hAnsi="Arial" w:cs="Arial"/>
        </w:rPr>
      </w:pPr>
      <w:r>
        <w:rPr>
          <w:rFonts w:ascii="Arial" w:hAnsi="Arial" w:cs="Arial"/>
        </w:rPr>
        <w:t xml:space="preserve">Homelessness definitions and measurements differ across the UK. Users should be aware that statistics from the above publications are not directly comparable with Northern Ireland Homelessness Statistics. </w:t>
      </w:r>
    </w:p>
    <w:p w14:paraId="71181B8A" w14:textId="1A44A89A" w:rsidR="002B0783" w:rsidRDefault="002B0783" w:rsidP="00F06A13">
      <w:pPr>
        <w:jc w:val="both"/>
        <w:rPr>
          <w:rFonts w:ascii="Arial" w:hAnsi="Arial" w:cs="Arial"/>
        </w:rPr>
      </w:pPr>
      <w:r>
        <w:rPr>
          <w:rFonts w:ascii="Arial" w:hAnsi="Arial" w:cs="Arial"/>
        </w:rPr>
        <w:t>T</w:t>
      </w:r>
      <w:r w:rsidRPr="002B0783">
        <w:rPr>
          <w:rFonts w:ascii="Arial" w:hAnsi="Arial" w:cs="Arial"/>
        </w:rPr>
        <w:t>he GSS Harmonisation Team have worked closely with government departments, the devolved administrations, academics and third sector organisations to explore the feasibility of harmonising definitions of homelessness for UK official statistics</w:t>
      </w:r>
      <w:r>
        <w:rPr>
          <w:rFonts w:ascii="Arial" w:hAnsi="Arial" w:cs="Arial"/>
        </w:rPr>
        <w:t>:</w:t>
      </w:r>
      <w:bookmarkStart w:id="0" w:name="_GoBack"/>
      <w:bookmarkEnd w:id="0"/>
    </w:p>
    <w:p w14:paraId="35928544" w14:textId="5600A072" w:rsidR="002B0783" w:rsidRPr="00F06A13" w:rsidRDefault="002B0783" w:rsidP="00F06A13">
      <w:pPr>
        <w:jc w:val="both"/>
        <w:rPr>
          <w:rFonts w:ascii="Arial" w:hAnsi="Arial" w:cs="Arial"/>
        </w:rPr>
      </w:pPr>
      <w:hyperlink r:id="rId15" w:history="1">
        <w:r w:rsidRPr="00D458E5">
          <w:rPr>
            <w:rStyle w:val="Hyperlink"/>
            <w:rFonts w:ascii="Arial" w:hAnsi="Arial" w:cs="Arial"/>
          </w:rPr>
          <w:t>https://gss.civilservice.gov.uk/wp-content/uploads/2019/02/GSS-homelessness-report-1.pdf</w:t>
        </w:r>
      </w:hyperlink>
      <w:r>
        <w:rPr>
          <w:rFonts w:ascii="Arial" w:hAnsi="Arial" w:cs="Arial"/>
        </w:rPr>
        <w:t xml:space="preserve"> </w:t>
      </w:r>
    </w:p>
    <w:sectPr w:rsidR="002B0783" w:rsidRPr="00F06A13" w:rsidSect="00A80F3B">
      <w:headerReference w:type="defaul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E638" w14:textId="77777777" w:rsidR="0089779A" w:rsidRDefault="0089779A" w:rsidP="003C7E86">
      <w:pPr>
        <w:spacing w:after="0" w:line="240" w:lineRule="auto"/>
      </w:pPr>
      <w:r>
        <w:separator/>
      </w:r>
    </w:p>
  </w:endnote>
  <w:endnote w:type="continuationSeparator" w:id="0">
    <w:p w14:paraId="708A7502" w14:textId="77777777" w:rsidR="0089779A" w:rsidRDefault="0089779A"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C366" w14:textId="77777777" w:rsidR="0089779A" w:rsidRDefault="0089779A" w:rsidP="003C7E86">
      <w:pPr>
        <w:spacing w:after="0" w:line="240" w:lineRule="auto"/>
      </w:pPr>
      <w:r>
        <w:separator/>
      </w:r>
    </w:p>
  </w:footnote>
  <w:footnote w:type="continuationSeparator" w:id="0">
    <w:p w14:paraId="54567FF4" w14:textId="77777777" w:rsidR="0089779A" w:rsidRDefault="0089779A"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7" w:type="pct"/>
      <w:tblInd w:w="-426" w:type="dxa"/>
      <w:tblCellMar>
        <w:top w:w="144" w:type="dxa"/>
        <w:left w:w="115" w:type="dxa"/>
        <w:bottom w:w="144" w:type="dxa"/>
        <w:right w:w="115" w:type="dxa"/>
      </w:tblCellMar>
      <w:tblLook w:val="04A0" w:firstRow="1" w:lastRow="0" w:firstColumn="1" w:lastColumn="0" w:noHBand="0" w:noVBand="1"/>
    </w:tblPr>
    <w:tblGrid>
      <w:gridCol w:w="5046"/>
      <w:gridCol w:w="342"/>
      <w:gridCol w:w="4559"/>
    </w:tblGrid>
    <w:tr w:rsidR="003C7E86" w14:paraId="0C48A11A" w14:textId="77777777" w:rsidTr="00ED7BF3">
      <w:trPr>
        <w:trHeight w:val="279"/>
      </w:trPr>
      <w:tc>
        <w:tcPr>
          <w:tcW w:w="5388" w:type="dxa"/>
          <w:gridSpan w:val="2"/>
          <w:shd w:val="clear" w:color="auto" w:fill="004C98" w:themeFill="accent4" w:themeFillShade="BF"/>
          <w:vAlign w:val="center"/>
        </w:tcPr>
        <w:p w14:paraId="56CABDEF" w14:textId="77777777" w:rsidR="003C7E86" w:rsidRPr="00CE0C08" w:rsidRDefault="00976D87" w:rsidP="00907AD6">
          <w:pPr>
            <w:pStyle w:val="Header"/>
            <w:ind w:left="27"/>
            <w:rPr>
              <w:b/>
              <w:caps/>
              <w:color w:val="FFFFFF" w:themeColor="background1"/>
              <w:sz w:val="18"/>
              <w:szCs w:val="18"/>
            </w:rPr>
          </w:pPr>
          <w:r>
            <w:rPr>
              <w:b/>
              <w:caps/>
              <w:color w:val="FFFFFF" w:themeColor="background1"/>
              <w:sz w:val="32"/>
              <w:szCs w:val="18"/>
            </w:rPr>
            <w:t>Homelessness Bulletin</w:t>
          </w:r>
          <w:r w:rsidR="00CE0C08" w:rsidRPr="00907AD6">
            <w:rPr>
              <w:b/>
              <w:caps/>
              <w:color w:val="FFFFFF" w:themeColor="background1"/>
              <w:sz w:val="32"/>
              <w:szCs w:val="18"/>
            </w:rPr>
            <w:t xml:space="preserve">  </w:t>
          </w:r>
        </w:p>
      </w:tc>
      <w:tc>
        <w:tcPr>
          <w:tcW w:w="4559" w:type="dxa"/>
          <w:shd w:val="clear" w:color="auto" w:fill="004C98" w:themeFill="accent4" w:themeFillShade="BF"/>
          <w:vAlign w:val="center"/>
        </w:tcPr>
        <w:p w14:paraId="3AE55DB4" w14:textId="77777777" w:rsidR="003C7E86" w:rsidRPr="00907AD6" w:rsidRDefault="00976D87">
          <w:pPr>
            <w:pStyle w:val="Header"/>
            <w:jc w:val="right"/>
            <w:rPr>
              <w:b/>
              <w:caps/>
              <w:color w:val="FFFFFF" w:themeColor="background1"/>
              <w:sz w:val="32"/>
              <w:szCs w:val="18"/>
            </w:rPr>
          </w:pPr>
          <w:r>
            <w:rPr>
              <w:b/>
              <w:caps/>
              <w:color w:val="FFFFFF" w:themeColor="background1"/>
              <w:sz w:val="32"/>
              <w:szCs w:val="18"/>
            </w:rPr>
            <w:t>Quality Document</w:t>
          </w:r>
        </w:p>
      </w:tc>
    </w:tr>
    <w:tr w:rsidR="003C7E86" w14:paraId="2CA7BDEF" w14:textId="77777777" w:rsidTr="00ED7BF3">
      <w:trPr>
        <w:trHeight w:hRule="exact" w:val="151"/>
      </w:trPr>
      <w:tc>
        <w:tcPr>
          <w:tcW w:w="5046" w:type="dxa"/>
          <w:shd w:val="clear" w:color="auto" w:fill="0066FF" w:themeFill="accent1"/>
          <w:tcMar>
            <w:top w:w="0" w:type="dxa"/>
            <w:bottom w:w="0" w:type="dxa"/>
          </w:tcMar>
        </w:tcPr>
        <w:p w14:paraId="59592CB3" w14:textId="77777777" w:rsidR="003C7E86" w:rsidRDefault="003C7E86" w:rsidP="003C7E86">
          <w:pPr>
            <w:pStyle w:val="Header"/>
            <w:jc w:val="right"/>
            <w:rPr>
              <w:caps/>
              <w:color w:val="FFFFFF" w:themeColor="background1"/>
              <w:sz w:val="18"/>
              <w:szCs w:val="18"/>
            </w:rPr>
          </w:pPr>
        </w:p>
      </w:tc>
      <w:tc>
        <w:tcPr>
          <w:tcW w:w="4901" w:type="dxa"/>
          <w:gridSpan w:val="2"/>
          <w:shd w:val="clear" w:color="auto" w:fill="0066FF" w:themeFill="accent1"/>
          <w:tcMar>
            <w:top w:w="0" w:type="dxa"/>
            <w:bottom w:w="0" w:type="dxa"/>
          </w:tcMar>
        </w:tcPr>
        <w:p w14:paraId="4D14A917" w14:textId="77777777" w:rsidR="003C7E86" w:rsidRDefault="003C7E86">
          <w:pPr>
            <w:pStyle w:val="Header"/>
            <w:rPr>
              <w:caps/>
              <w:color w:val="FFFFFF" w:themeColor="background1"/>
              <w:sz w:val="18"/>
              <w:szCs w:val="18"/>
            </w:rPr>
          </w:pPr>
        </w:p>
      </w:tc>
    </w:tr>
  </w:tbl>
  <w:p w14:paraId="3A2E46DA" w14:textId="77777777"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F6F17"/>
    <w:rsid w:val="00166A63"/>
    <w:rsid w:val="00197DE2"/>
    <w:rsid w:val="001A6B23"/>
    <w:rsid w:val="001B3605"/>
    <w:rsid w:val="001B5337"/>
    <w:rsid w:val="00243098"/>
    <w:rsid w:val="00246ACE"/>
    <w:rsid w:val="00266FDE"/>
    <w:rsid w:val="002B0783"/>
    <w:rsid w:val="002D3070"/>
    <w:rsid w:val="002D726E"/>
    <w:rsid w:val="00307E4E"/>
    <w:rsid w:val="003C7E86"/>
    <w:rsid w:val="003D2288"/>
    <w:rsid w:val="00412724"/>
    <w:rsid w:val="00476C50"/>
    <w:rsid w:val="004920C7"/>
    <w:rsid w:val="00492EA2"/>
    <w:rsid w:val="004C0A23"/>
    <w:rsid w:val="004E0CE8"/>
    <w:rsid w:val="004E69FF"/>
    <w:rsid w:val="005264DE"/>
    <w:rsid w:val="0055650F"/>
    <w:rsid w:val="00580B48"/>
    <w:rsid w:val="00583173"/>
    <w:rsid w:val="00592995"/>
    <w:rsid w:val="00595E71"/>
    <w:rsid w:val="005A034F"/>
    <w:rsid w:val="005B699C"/>
    <w:rsid w:val="0061743C"/>
    <w:rsid w:val="006347DB"/>
    <w:rsid w:val="006D0431"/>
    <w:rsid w:val="00700E29"/>
    <w:rsid w:val="00724DC8"/>
    <w:rsid w:val="007336A0"/>
    <w:rsid w:val="007C6418"/>
    <w:rsid w:val="008360D7"/>
    <w:rsid w:val="0089779A"/>
    <w:rsid w:val="008D2D6F"/>
    <w:rsid w:val="00907AD6"/>
    <w:rsid w:val="00923F89"/>
    <w:rsid w:val="00932A6D"/>
    <w:rsid w:val="0093742A"/>
    <w:rsid w:val="00976D87"/>
    <w:rsid w:val="009B54E7"/>
    <w:rsid w:val="009F1648"/>
    <w:rsid w:val="00A80F3B"/>
    <w:rsid w:val="00AE60A3"/>
    <w:rsid w:val="00AF4D82"/>
    <w:rsid w:val="00B6201E"/>
    <w:rsid w:val="00B831AF"/>
    <w:rsid w:val="00BA32EC"/>
    <w:rsid w:val="00BF3C5A"/>
    <w:rsid w:val="00C02BEF"/>
    <w:rsid w:val="00C50EB0"/>
    <w:rsid w:val="00C9563C"/>
    <w:rsid w:val="00CB194F"/>
    <w:rsid w:val="00CE0C08"/>
    <w:rsid w:val="00CE2035"/>
    <w:rsid w:val="00CE48CE"/>
    <w:rsid w:val="00CE6DC5"/>
    <w:rsid w:val="00D131C3"/>
    <w:rsid w:val="00D675C3"/>
    <w:rsid w:val="00D916CD"/>
    <w:rsid w:val="00E450BC"/>
    <w:rsid w:val="00EC4763"/>
    <w:rsid w:val="00ED7BF3"/>
    <w:rsid w:val="00F06A13"/>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2A49"/>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003380" w:themeColor="accent1" w:themeShade="80"/>
      <w:sz w:val="36"/>
      <w:szCs w:val="36"/>
    </w:rPr>
  </w:style>
  <w:style w:type="paragraph" w:styleId="Heading2">
    <w:name w:val="heading 2"/>
    <w:basedOn w:val="Normal"/>
    <w:next w:val="Normal"/>
    <w:link w:val="Heading2Char"/>
    <w:uiPriority w:val="9"/>
    <w:unhideWhenUsed/>
    <w:qFormat/>
    <w:rsid w:val="00907AD6"/>
    <w:pPr>
      <w:keepNext/>
      <w:keepLines/>
      <w:spacing w:before="40" w:after="0" w:line="240" w:lineRule="auto"/>
      <w:outlineLvl w:val="1"/>
    </w:pPr>
    <w:rPr>
      <w:rFonts w:asciiTheme="majorHAnsi" w:eastAsiaTheme="majorEastAsia" w:hAnsiTheme="majorHAnsi" w:cstheme="majorBidi"/>
      <w:color w:val="004CBF"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004CBF"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004CBF"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004CBF"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003380"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003380"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003380"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0033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003380" w:themeColor="accent1" w:themeShade="80"/>
      <w:sz w:val="36"/>
      <w:szCs w:val="36"/>
    </w:rPr>
  </w:style>
  <w:style w:type="character" w:customStyle="1" w:styleId="Heading2Char">
    <w:name w:val="Heading 2 Char"/>
    <w:basedOn w:val="DefaultParagraphFont"/>
    <w:link w:val="Heading2"/>
    <w:uiPriority w:val="9"/>
    <w:rsid w:val="00907AD6"/>
    <w:rPr>
      <w:rFonts w:asciiTheme="majorHAnsi" w:eastAsiaTheme="majorEastAsia" w:hAnsiTheme="majorHAnsi" w:cstheme="majorBidi"/>
      <w:color w:val="004CBF"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004CBF"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004CBF"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004CBF"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003380"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003380"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003380"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003380"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444D26"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444D26"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444D26"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0066FF"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0066FF"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444D26" w:themeColor="text2"/>
      <w:sz w:val="24"/>
      <w:szCs w:val="24"/>
    </w:rPr>
  </w:style>
  <w:style w:type="character" w:customStyle="1" w:styleId="QuoteChar">
    <w:name w:val="Quote Char"/>
    <w:basedOn w:val="DefaultParagraphFont"/>
    <w:link w:val="Quote"/>
    <w:uiPriority w:val="29"/>
    <w:rsid w:val="00907AD6"/>
    <w:rPr>
      <w:color w:val="444D26"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444D26"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444D26"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444D26"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0070C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www.scotland.gov.uk/Topics/Statistics/Browse/Housing-Regeneration/RefTab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homelessness-statis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ni.gov.uk/topics/housing-statistics" TargetMode="External"/><Relationship Id="rId5" Type="http://schemas.openxmlformats.org/officeDocument/2006/relationships/webSettings" Target="webSettings.xml"/><Relationship Id="rId15" Type="http://schemas.openxmlformats.org/officeDocument/2006/relationships/hyperlink" Target="https://gss.civilservice.gov.uk/wp-content/uploads/2019/02/GSS-homelessness-report-1.pdf" TargetMode="External"/><Relationship Id="rId10" Type="http://schemas.openxmlformats.org/officeDocument/2006/relationships/hyperlink" Target="http://www.nihe.gov.uk/index/corporate/strategies/homelessness_strategy.htm" TargetMode="External"/><Relationship Id="rId4" Type="http://schemas.openxmlformats.org/officeDocument/2006/relationships/settings" Target="settings.xml"/><Relationship Id="rId9" Type="http://schemas.openxmlformats.org/officeDocument/2006/relationships/hyperlink" Target="http://www.nihe.gov.uk/index/about/Reg_issues/homelessness_information.htm" TargetMode="External"/><Relationship Id="rId14" Type="http://schemas.openxmlformats.org/officeDocument/2006/relationships/hyperlink" Target="http://wales.gov.uk/statistics-and-research/homelessness/?lang=e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0066FF"/>
      </a:accent1>
      <a:accent2>
        <a:srgbClr val="0070C0"/>
      </a:accent2>
      <a:accent3>
        <a:srgbClr val="3333FF"/>
      </a:accent3>
      <a:accent4>
        <a:srgbClr val="0066CC"/>
      </a:accent4>
      <a:accent5>
        <a:srgbClr val="6699FF"/>
      </a:accent5>
      <a:accent6>
        <a:srgbClr val="0099FF"/>
      </a:accent6>
      <a:hlink>
        <a:srgbClr val="3333FF"/>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CEAB-F032-430B-9528-8CEEE7B2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4</cp:revision>
  <dcterms:created xsi:type="dcterms:W3CDTF">2019-02-18T16:12:00Z</dcterms:created>
  <dcterms:modified xsi:type="dcterms:W3CDTF">2019-03-01T10:13:00Z</dcterms:modified>
</cp:coreProperties>
</file>