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13" w:rsidRPr="00976D87" w:rsidRDefault="00F06A13" w:rsidP="00F06A13">
      <w:pPr>
        <w:pStyle w:val="Heading1"/>
        <w:spacing w:before="0"/>
        <w:rPr>
          <w:rFonts w:ascii="Arial" w:hAnsi="Arial" w:cs="Arial"/>
        </w:rPr>
      </w:pPr>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w:t>
      </w:r>
      <w:r w:rsidR="00A42471">
        <w:rPr>
          <w:rFonts w:ascii="Arial" w:hAnsi="Arial" w:cs="Arial"/>
        </w:rPr>
        <w:t>Professional Services Unit (P</w:t>
      </w:r>
      <w:r w:rsidR="00EE5906">
        <w:rPr>
          <w:rFonts w:ascii="Arial" w:hAnsi="Arial" w:cs="Arial"/>
        </w:rPr>
        <w:t>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352C33" w:rsidRDefault="00F06A13" w:rsidP="00F06A13">
      <w:pPr>
        <w:ind w:right="26"/>
        <w:jc w:val="both"/>
        <w:rPr>
          <w:rFonts w:ascii="Arial" w:hAnsi="Arial" w:cs="Arial"/>
          <w:color w:val="0072BF" w:themeColor="accent6" w:themeShade="BF"/>
        </w:rPr>
      </w:pPr>
      <w:r w:rsidRPr="002A0577">
        <w:rPr>
          <w:rFonts w:ascii="Arial" w:hAnsi="Arial" w:cs="Arial"/>
        </w:rPr>
        <w:t xml:space="preserve">Homelessness figures presented in this report can be read in conjunction with those published in the quarterly </w:t>
      </w:r>
      <w:hyperlink r:id="rId8" w:history="1">
        <w:r w:rsidR="005B2426">
          <w:rPr>
            <w:rStyle w:val="Hyperlink"/>
            <w:rFonts w:ascii="Arial" w:hAnsi="Arial" w:cs="Arial"/>
            <w:color w:val="0072BF" w:themeColor="accent6" w:themeShade="BF"/>
          </w:rPr>
          <w:t>Northern Ireland Housing Bulletin</w:t>
        </w:r>
      </w:hyperlink>
      <w:r w:rsidR="005B2426">
        <w:rPr>
          <w:rStyle w:val="Hyperlink"/>
          <w:rFonts w:ascii="Arial" w:hAnsi="Arial" w:cs="Arial"/>
          <w:color w:val="0072BF" w:themeColor="accent6" w:themeShade="BF"/>
        </w:rPr>
        <w:t>.</w:t>
      </w:r>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https://www.nihe.gov.uk/Housing-Help/Homelessness/Are-you-homeless</w:t>
      </w:r>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https://www.nihe.gov.uk/Housing-Help/Homelessness/Homelessness-strategy</w:t>
      </w:r>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sidR="00A42471">
        <w:rPr>
          <w:rFonts w:ascii="Arial" w:hAnsi="Arial" w:cs="Arial"/>
        </w:rPr>
        <w:t>to P</w:t>
      </w:r>
      <w:r>
        <w:rPr>
          <w:rFonts w:ascii="Arial" w:hAnsi="Arial" w:cs="Arial"/>
        </w:rPr>
        <w:t>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p>
    <w:p w:rsidR="00F06A13" w:rsidRPr="00976D87" w:rsidRDefault="00F06A13" w:rsidP="00F06A13">
      <w:pPr>
        <w:jc w:val="both"/>
        <w:rPr>
          <w:rFonts w:ascii="Arial" w:hAnsi="Arial" w:cs="Arial"/>
        </w:rPr>
      </w:pPr>
    </w:p>
    <w:p w:rsidR="00F06A13" w:rsidRPr="00A80F3B"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352C33" w:rsidRDefault="00B72811" w:rsidP="00F06A13">
      <w:pPr>
        <w:jc w:val="both"/>
        <w:rPr>
          <w:rFonts w:ascii="Arial" w:hAnsi="Arial" w:cs="Arial"/>
          <w:color w:val="0072BF" w:themeColor="accent6" w:themeShade="BF"/>
        </w:rPr>
      </w:pPr>
      <w:hyperlink r:id="rId9" w:history="1">
        <w:r w:rsidR="005B2426">
          <w:rPr>
            <w:rStyle w:val="Hyperlink"/>
            <w:rFonts w:ascii="Arial" w:hAnsi="Arial" w:cs="Arial"/>
            <w:color w:val="0072BF" w:themeColor="accent6" w:themeShade="BF"/>
          </w:rPr>
          <w:t>Northern Ireland Housing Statistics</w:t>
        </w:r>
      </w:hyperlink>
    </w:p>
    <w:p w:rsidR="00F06A13" w:rsidRPr="00BB2145" w:rsidRDefault="00F06A13" w:rsidP="00F06A13">
      <w:pPr>
        <w:jc w:val="both"/>
        <w:rPr>
          <w:rFonts w:ascii="Arial" w:hAnsi="Arial" w:cs="Arial"/>
          <w:color w:val="FF0000"/>
        </w:rPr>
      </w:pPr>
    </w:p>
    <w:p w:rsidR="005B2426" w:rsidRDefault="00F06A13" w:rsidP="005B2426">
      <w:pPr>
        <w:pStyle w:val="Heading2"/>
        <w:rPr>
          <w:rFonts w:ascii="Arial" w:hAnsi="Arial" w:cs="Arial"/>
          <w:color w:val="003380" w:themeColor="accent1" w:themeShade="80"/>
          <w:sz w:val="36"/>
          <w:szCs w:val="36"/>
        </w:rPr>
      </w:pPr>
      <w:r w:rsidRPr="00E450BC">
        <w:rPr>
          <w:rFonts w:ascii="Arial" w:hAnsi="Arial" w:cs="Arial"/>
          <w:color w:val="003380" w:themeColor="accent1" w:themeShade="80"/>
          <w:sz w:val="36"/>
          <w:szCs w:val="36"/>
        </w:rPr>
        <w:t>Accuracy</w:t>
      </w:r>
    </w:p>
    <w:p w:rsidR="00F06A13" w:rsidRPr="005B2426" w:rsidRDefault="00F06A13" w:rsidP="005B2426">
      <w:pPr>
        <w:rPr>
          <w:rFonts w:ascii="Arial" w:hAnsi="Arial" w:cs="Arial"/>
          <w:color w:val="003380" w:themeColor="accent1" w:themeShade="80"/>
          <w:sz w:val="36"/>
          <w:szCs w:val="36"/>
        </w:rPr>
      </w:pPr>
      <w:r w:rsidRPr="005B2426">
        <w:rPr>
          <w:rFonts w:ascii="Arial" w:hAnsi="Arial" w:cs="Arial"/>
        </w:rPr>
        <w:t xml:space="preserve">Reports on the status of homelessness presentations are extracted from the Housing Management System for specified date parameters </w:t>
      </w:r>
      <w:r w:rsidR="000B33C6" w:rsidRPr="005B2426">
        <w:rPr>
          <w:rFonts w:ascii="Arial" w:hAnsi="Arial" w:cs="Arial"/>
        </w:rPr>
        <w:t>by</w:t>
      </w:r>
      <w:r w:rsidRPr="005B2426">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sidRPr="005B2426">
        <w:rPr>
          <w:rFonts w:ascii="Arial" w:hAnsi="Arial" w:cs="Arial"/>
        </w:rPr>
        <w:t>ive database on a specific date and as such could be revised at a later date.</w:t>
      </w:r>
      <w:r w:rsidRPr="005B2426">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sidR="00A42471">
        <w:rPr>
          <w:rFonts w:ascii="Arial" w:hAnsi="Arial" w:cs="Arial"/>
        </w:rPr>
        <w:t>omelessness to P</w:t>
      </w:r>
      <w:r>
        <w:rPr>
          <w:rFonts w:ascii="Arial" w:hAnsi="Arial" w:cs="Arial"/>
        </w:rPr>
        <w:t xml:space="preserve">SU, at which point, further checks are carried out by way of trend analysis, row and column cross checking against totals and sub-totals, identification of anomalies and </w:t>
      </w:r>
      <w:r w:rsidR="00A42471">
        <w:rPr>
          <w:rFonts w:ascii="Arial" w:hAnsi="Arial" w:cs="Arial"/>
        </w:rPr>
        <w:t>checks for cell completeness.  P</w:t>
      </w:r>
      <w:r>
        <w:rPr>
          <w:rFonts w:ascii="Arial" w:hAnsi="Arial" w:cs="Arial"/>
        </w:rPr>
        <w:t>SU follow a procedures manual which stipulates checks at numerous levels of management.</w:t>
      </w:r>
    </w:p>
    <w:p w:rsidR="002A199F" w:rsidRPr="00FB0BB0" w:rsidRDefault="002A199F" w:rsidP="00FB0BB0">
      <w:pPr>
        <w:pStyle w:val="Subtitle"/>
        <w:spacing w:after="0"/>
        <w:rPr>
          <w:rFonts w:ascii="Arial" w:hAnsi="Arial" w:cs="Arial"/>
        </w:rPr>
      </w:pPr>
      <w:r w:rsidRPr="00945906">
        <w:rPr>
          <w:rFonts w:ascii="Arial" w:hAnsi="Arial" w:cs="Arial"/>
        </w:rPr>
        <w:t>Impact of Covid-19</w:t>
      </w:r>
    </w:p>
    <w:p w:rsidR="00945906" w:rsidRDefault="00945906" w:rsidP="00945906">
      <w:pPr>
        <w:jc w:val="both"/>
        <w:rPr>
          <w:rFonts w:ascii="Arial" w:hAnsi="Arial" w:cs="Arial"/>
        </w:rPr>
      </w:pPr>
      <w:r w:rsidRPr="00661590">
        <w:rPr>
          <w:rFonts w:ascii="Arial" w:hAnsi="Arial" w:cs="Arial"/>
        </w:rPr>
        <w:t>The Housing Executive would note that the Q1</w:t>
      </w:r>
      <w:r>
        <w:rPr>
          <w:rFonts w:ascii="Arial" w:hAnsi="Arial" w:cs="Arial"/>
        </w:rPr>
        <w:t>, Q2 and Q3</w:t>
      </w:r>
      <w:r w:rsidRPr="00661590">
        <w:rPr>
          <w:rFonts w:ascii="Arial" w:hAnsi="Arial" w:cs="Arial"/>
        </w:rPr>
        <w:t xml:space="preserve"> data submission for 2020/21 has been subject to significant variation from previous quarters and this can be directly attributed to the impact of COVID-19. As a comparison</w:t>
      </w:r>
      <w:r>
        <w:rPr>
          <w:rFonts w:ascii="Arial" w:hAnsi="Arial" w:cs="Arial"/>
        </w:rPr>
        <w:t>,</w:t>
      </w:r>
      <w:r w:rsidRPr="00661590">
        <w:rPr>
          <w:rFonts w:ascii="Arial" w:hAnsi="Arial" w:cs="Arial"/>
        </w:rPr>
        <w:t xml:space="preserve"> there was a total of </w:t>
      </w:r>
      <w:r>
        <w:rPr>
          <w:rFonts w:ascii="Arial" w:hAnsi="Arial" w:cs="Arial"/>
        </w:rPr>
        <w:t>12,854</w:t>
      </w:r>
      <w:r w:rsidRPr="006547C6">
        <w:rPr>
          <w:rFonts w:ascii="Arial" w:hAnsi="Arial" w:cs="Arial"/>
        </w:rPr>
        <w:t xml:space="preserve"> </w:t>
      </w:r>
      <w:r w:rsidRPr="00661590">
        <w:rPr>
          <w:rFonts w:ascii="Arial" w:hAnsi="Arial" w:cs="Arial"/>
        </w:rPr>
        <w:t>presenta</w:t>
      </w:r>
      <w:r>
        <w:rPr>
          <w:rFonts w:ascii="Arial" w:hAnsi="Arial" w:cs="Arial"/>
        </w:rPr>
        <w:t xml:space="preserve">tions in Q1, Q2 and Q3 </w:t>
      </w:r>
      <w:r w:rsidRPr="00661590">
        <w:rPr>
          <w:rFonts w:ascii="Arial" w:hAnsi="Arial" w:cs="Arial"/>
        </w:rPr>
        <w:t>of 2019/20</w:t>
      </w:r>
      <w:r>
        <w:rPr>
          <w:rFonts w:ascii="Arial" w:hAnsi="Arial" w:cs="Arial"/>
        </w:rPr>
        <w:t xml:space="preserve"> and this has reduced by 7% to 11,676</w:t>
      </w:r>
      <w:r w:rsidRPr="00661590">
        <w:rPr>
          <w:rFonts w:ascii="Arial" w:hAnsi="Arial" w:cs="Arial"/>
        </w:rPr>
        <w:t xml:space="preserve"> in Q1</w:t>
      </w:r>
      <w:r>
        <w:rPr>
          <w:rFonts w:ascii="Arial" w:hAnsi="Arial" w:cs="Arial"/>
        </w:rPr>
        <w:t>, Q2 and Q3</w:t>
      </w:r>
      <w:r w:rsidRPr="00661590">
        <w:rPr>
          <w:rFonts w:ascii="Arial" w:hAnsi="Arial" w:cs="Arial"/>
        </w:rPr>
        <w:t xml:space="preserve"> of 2020/21. </w:t>
      </w:r>
      <w:r w:rsidRPr="00BF3EFE">
        <w:rPr>
          <w:rFonts w:ascii="Arial" w:hAnsi="Arial" w:cs="Arial"/>
        </w:rPr>
        <w:t>However, it should be noted that this i</w:t>
      </w:r>
      <w:r>
        <w:rPr>
          <w:rFonts w:ascii="Arial" w:hAnsi="Arial" w:cs="Arial"/>
        </w:rPr>
        <w:t>s a lesser decrease than the 10</w:t>
      </w:r>
      <w:r w:rsidRPr="00BF3EFE">
        <w:rPr>
          <w:rFonts w:ascii="Arial" w:hAnsi="Arial" w:cs="Arial"/>
        </w:rPr>
        <w:t xml:space="preserve">% decrease reported at the end of Q2, highlighting the fact that presentations are gradually started to rise again with recent figures more consistent with trends during previous years.  </w:t>
      </w:r>
    </w:p>
    <w:p w:rsidR="00945906" w:rsidRDefault="00945906" w:rsidP="00945906">
      <w:pPr>
        <w:jc w:val="both"/>
        <w:rPr>
          <w:rFonts w:ascii="Arial" w:hAnsi="Arial" w:cs="Arial"/>
        </w:rPr>
      </w:pPr>
      <w:r w:rsidRPr="00661590">
        <w:rPr>
          <w:rFonts w:ascii="Arial" w:hAnsi="Arial" w:cs="Arial"/>
        </w:rPr>
        <w:t xml:space="preserve">The impact of COVID-19 on acceptances has been more pronounced with </w:t>
      </w:r>
      <w:r>
        <w:rPr>
          <w:rFonts w:ascii="Arial" w:hAnsi="Arial" w:cs="Arial"/>
        </w:rPr>
        <w:t>8,561</w:t>
      </w:r>
      <w:r w:rsidRPr="00661590">
        <w:rPr>
          <w:rFonts w:ascii="Arial" w:hAnsi="Arial" w:cs="Arial"/>
        </w:rPr>
        <w:t xml:space="preserve"> acceptances in Q1</w:t>
      </w:r>
      <w:r>
        <w:rPr>
          <w:rFonts w:ascii="Arial" w:hAnsi="Arial" w:cs="Arial"/>
        </w:rPr>
        <w:t>, Q2</w:t>
      </w:r>
      <w:r w:rsidRPr="00661590">
        <w:rPr>
          <w:rFonts w:ascii="Arial" w:hAnsi="Arial" w:cs="Arial"/>
        </w:rPr>
        <w:t xml:space="preserve"> </w:t>
      </w:r>
      <w:r>
        <w:rPr>
          <w:rFonts w:ascii="Arial" w:hAnsi="Arial" w:cs="Arial"/>
        </w:rPr>
        <w:t xml:space="preserve">and Q3 </w:t>
      </w:r>
      <w:r w:rsidRPr="00661590">
        <w:rPr>
          <w:rFonts w:ascii="Arial" w:hAnsi="Arial" w:cs="Arial"/>
        </w:rPr>
        <w:t>of 20</w:t>
      </w:r>
      <w:r>
        <w:rPr>
          <w:rFonts w:ascii="Arial" w:hAnsi="Arial" w:cs="Arial"/>
        </w:rPr>
        <w:t>19/20 and this has reduced by 18</w:t>
      </w:r>
      <w:r w:rsidRPr="00661590">
        <w:rPr>
          <w:rFonts w:ascii="Arial" w:hAnsi="Arial" w:cs="Arial"/>
        </w:rPr>
        <w:t xml:space="preserve">% to </w:t>
      </w:r>
      <w:r>
        <w:rPr>
          <w:rFonts w:ascii="Arial" w:hAnsi="Arial" w:cs="Arial"/>
        </w:rPr>
        <w:t>6,984</w:t>
      </w:r>
      <w:r w:rsidRPr="00661590">
        <w:rPr>
          <w:rFonts w:ascii="Arial" w:hAnsi="Arial" w:cs="Arial"/>
        </w:rPr>
        <w:t xml:space="preserve"> in Q1</w:t>
      </w:r>
      <w:r>
        <w:rPr>
          <w:rFonts w:ascii="Arial" w:hAnsi="Arial" w:cs="Arial"/>
        </w:rPr>
        <w:t>, Q2 and Q3</w:t>
      </w:r>
      <w:r w:rsidRPr="00661590">
        <w:rPr>
          <w:rFonts w:ascii="Arial" w:hAnsi="Arial" w:cs="Arial"/>
        </w:rPr>
        <w:t xml:space="preserve"> of 2020/21. </w:t>
      </w:r>
      <w:r w:rsidRPr="00BF3EFE">
        <w:rPr>
          <w:rFonts w:ascii="Arial" w:hAnsi="Arial" w:cs="Arial"/>
        </w:rPr>
        <w:t>Again it should be noted that this is also a lesser decrease than the decre</w:t>
      </w:r>
      <w:r>
        <w:rPr>
          <w:rFonts w:ascii="Arial" w:hAnsi="Arial" w:cs="Arial"/>
        </w:rPr>
        <w:t xml:space="preserve">ase of 24% reported at the end of Q2.   </w:t>
      </w:r>
    </w:p>
    <w:p w:rsidR="00945906" w:rsidRDefault="00945906" w:rsidP="00945906">
      <w:pPr>
        <w:jc w:val="both"/>
        <w:rPr>
          <w:rFonts w:ascii="Arial" w:hAnsi="Arial" w:cs="Arial"/>
        </w:rPr>
      </w:pPr>
      <w:r w:rsidRPr="00661590">
        <w:rPr>
          <w:rFonts w:ascii="Arial" w:hAnsi="Arial" w:cs="Arial"/>
        </w:rPr>
        <w:t xml:space="preserve">With regards to acceptances it should be noted that in some cases social distancing guidance has meant that third party evidence may not be immediately available as home visits have not been possible leading to some decisions being delayed but the Housing Executive will ensure our statutory duty around the provision of temporary accommodation until a decision </w:t>
      </w:r>
      <w:r>
        <w:rPr>
          <w:rFonts w:ascii="Arial" w:hAnsi="Arial" w:cs="Arial"/>
        </w:rPr>
        <w:t>is reached is adhered to.</w:t>
      </w:r>
    </w:p>
    <w:p w:rsidR="00F06A13" w:rsidRDefault="00945906" w:rsidP="00F06A13">
      <w:pPr>
        <w:jc w:val="both"/>
        <w:rPr>
          <w:rFonts w:ascii="Arial" w:hAnsi="Arial" w:cs="Arial"/>
        </w:rPr>
      </w:pPr>
      <w:r w:rsidRPr="00661590">
        <w:rPr>
          <w:rFonts w:ascii="Arial" w:hAnsi="Arial" w:cs="Arial"/>
        </w:rPr>
        <w:t>The data on temporary accommodation shows a significant increase and this is directly related to COVID-19 with demand increasing since lockdown arrangements were implemented on 23rd March. With these figures in mind the Housing Executive would request that this data update notes the impact of COVID-19 in any accompanying narrative</w:t>
      </w:r>
      <w:r>
        <w:rPr>
          <w:rFonts w:ascii="Arial" w:hAnsi="Arial" w:cs="Arial"/>
        </w:rPr>
        <w:t>.</w:t>
      </w:r>
    </w:p>
    <w:p w:rsidR="00945906" w:rsidRDefault="00945906" w:rsidP="00F06A13">
      <w:pPr>
        <w:jc w:val="both"/>
        <w:rPr>
          <w:rFonts w:ascii="Arial" w:hAnsi="Arial" w:cs="Arial"/>
        </w:rPr>
      </w:pPr>
    </w:p>
    <w:p w:rsidR="00F06A13" w:rsidRPr="00E450BC" w:rsidRDefault="00F06A13" w:rsidP="00F06A13">
      <w:pPr>
        <w:jc w:val="both"/>
        <w:rPr>
          <w:rFonts w:ascii="Arial" w:hAnsi="Arial" w:cs="Arial"/>
        </w:rPr>
      </w:pPr>
      <w:r w:rsidRPr="00580B48">
        <w:rPr>
          <w:rFonts w:ascii="Arial" w:eastAsiaTheme="majorEastAsia" w:hAnsi="Arial" w:cs="Arial"/>
          <w:color w:val="003380" w:themeColor="accent1" w:themeShade="80"/>
          <w:sz w:val="36"/>
          <w:szCs w:val="36"/>
        </w:rPr>
        <w:lastRenderedPageBreak/>
        <w:t>Timeliness</w:t>
      </w:r>
      <w:r>
        <w:rPr>
          <w:rFonts w:ascii="Arial" w:eastAsiaTheme="majorEastAsia" w:hAnsi="Arial" w:cs="Arial"/>
          <w:color w:val="003380" w:themeColor="accent1" w:themeShade="80"/>
          <w:sz w:val="36"/>
          <w:szCs w:val="36"/>
        </w:rPr>
        <w:t xml:space="preserve">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sidR="00897EC5">
        <w:rPr>
          <w:rFonts w:ascii="Arial" w:hAnsi="Arial" w:cs="Arial"/>
        </w:rPr>
        <w:t xml:space="preserve"> 3</w:t>
      </w:r>
      <w:r>
        <w:rPr>
          <w:rFonts w:ascii="Arial" w:hAnsi="Arial" w:cs="Arial"/>
        </w:rPr>
        <w:t xml:space="preserve"> months after the reporting pe</w:t>
      </w:r>
      <w:r w:rsidR="00897EC5">
        <w:rPr>
          <w:rFonts w:ascii="Arial" w:hAnsi="Arial" w:cs="Arial"/>
        </w:rPr>
        <w:t>riod has finished. This 3</w:t>
      </w:r>
      <w:bookmarkStart w:id="0" w:name="_GoBack"/>
      <w:bookmarkEnd w:id="0"/>
      <w:r w:rsidR="000B33C6">
        <w:rPr>
          <w:rFonts w:ascii="Arial" w:hAnsi="Arial" w:cs="Arial"/>
        </w:rPr>
        <w:t xml:space="preserve">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will typically place a formal request to NIHE for the homelessness data necessary to populate the report 6 weeks prior to publication </w:t>
      </w:r>
      <w:r>
        <w:rPr>
          <w:rFonts w:ascii="Arial" w:hAnsi="Arial" w:cs="Arial"/>
        </w:rPr>
        <w:t>date. NIHE forward the data to P</w:t>
      </w:r>
      <w:r w:rsidR="00F06A13">
        <w:rPr>
          <w:rFonts w:ascii="Arial" w:hAnsi="Arial" w:cs="Arial"/>
        </w:rPr>
        <w:t>SU within 2 weeks of it being requested.</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Default="00F06A13" w:rsidP="00F06A13">
      <w:pPr>
        <w:jc w:val="both"/>
        <w:rPr>
          <w:rFonts w:ascii="Arial" w:eastAsiaTheme="majorEastAsia" w:hAnsi="Arial" w:cs="Arial"/>
          <w:color w:val="003380" w:themeColor="accent1" w:themeShade="80"/>
          <w:sz w:val="36"/>
          <w:szCs w:val="36"/>
        </w:rPr>
      </w:pPr>
      <w:r>
        <w:rPr>
          <w:rFonts w:ascii="Arial" w:eastAsiaTheme="majorEastAsia" w:hAnsi="Arial" w:cs="Arial"/>
          <w:color w:val="003380" w:themeColor="accent1" w:themeShade="80"/>
          <w:sz w:val="36"/>
          <w:szCs w:val="36"/>
        </w:rPr>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003380" w:themeColor="accent1" w:themeShade="80"/>
          <w:sz w:val="36"/>
          <w:szCs w:val="36"/>
        </w:rPr>
      </w:pPr>
    </w:p>
    <w:p w:rsidR="00F06A13" w:rsidRPr="004920C7"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Coherence &amp; comparability</w:t>
      </w:r>
    </w:p>
    <w:p w:rsidR="00F06A13" w:rsidRPr="00976D87" w:rsidRDefault="00F06A13" w:rsidP="00F06A13">
      <w:pPr>
        <w:pStyle w:val="Subtitle"/>
        <w:spacing w:after="0"/>
        <w:rPr>
          <w:rFonts w:ascii="Arial" w:hAnsi="Arial" w:cs="Arial"/>
        </w:rPr>
      </w:pPr>
      <w:r w:rsidRPr="00976D87">
        <w:rPr>
          <w:rFonts w:ascii="Arial" w:hAnsi="Arial" w:cs="Arial"/>
        </w:rPr>
        <w:t>New Breakdowns</w:t>
      </w:r>
    </w:p>
    <w:p w:rsidR="00F06A13" w:rsidRPr="00976D87" w:rsidRDefault="00F06A13" w:rsidP="00F06A13">
      <w:pPr>
        <w:rPr>
          <w:rFonts w:ascii="Arial" w:hAnsi="Arial" w:cs="Arial"/>
          <w:sz w:val="24"/>
        </w:rPr>
      </w:pPr>
      <w:r w:rsidRPr="00976D87">
        <w:rPr>
          <w:rStyle w:val="SubtleEmphasis"/>
          <w:rFonts w:ascii="Arial" w:hAnsi="Arial" w:cs="Arial"/>
          <w:sz w:val="24"/>
        </w:rPr>
        <w:t>Accommodation Not Reasonable</w:t>
      </w:r>
      <w:r w:rsidR="00AB5503">
        <w:rPr>
          <w:rStyle w:val="SubtleEmphasis"/>
          <w:rFonts w:ascii="Arial" w:hAnsi="Arial" w:cs="Arial"/>
          <w:sz w:val="24"/>
        </w:rPr>
        <w:t xml:space="preserve"> (ANR)</w:t>
      </w:r>
      <w:r w:rsidRPr="00976D87">
        <w:rPr>
          <w:rFonts w:ascii="Arial" w:hAnsi="Arial" w:cs="Arial"/>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lastRenderedPageBreak/>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D675C3">
        <w:rPr>
          <w:rStyle w:val="SubtleEmphasis"/>
          <w:rFonts w:ascii="Arial" w:hAnsi="Arial" w:cs="Arial"/>
          <w:sz w:val="24"/>
        </w:rPr>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D675C3" w:rsidRDefault="00352C33" w:rsidP="0063589F">
      <w:pPr>
        <w:spacing w:line="240" w:lineRule="auto"/>
        <w:jc w:val="both"/>
        <w:rPr>
          <w:rStyle w:val="SubtleEmphasis"/>
          <w:rFonts w:ascii="Arial" w:hAnsi="Arial" w:cs="Arial"/>
          <w:sz w:val="24"/>
        </w:rPr>
      </w:pPr>
      <w:r>
        <w:rPr>
          <w:rStyle w:val="SubtleEmphasis"/>
          <w:rFonts w:ascii="Arial" w:hAnsi="Arial" w:cs="Arial"/>
          <w:sz w:val="24"/>
        </w:rPr>
        <w:t>Loss of Rented Accommodation:</w:t>
      </w:r>
    </w:p>
    <w:p w:rsidR="00352C33" w:rsidRPr="00976D87"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loss of rented accommodation reason. </w:t>
      </w:r>
      <w:r w:rsidRPr="00976D87">
        <w:rPr>
          <w:rFonts w:ascii="Arial" w:hAnsi="Arial" w:cs="Arial"/>
        </w:rPr>
        <w:t>All cas</w:t>
      </w:r>
      <w:r>
        <w:rPr>
          <w:rFonts w:ascii="Arial" w:hAnsi="Arial" w:cs="Arial"/>
        </w:rPr>
        <w:t xml:space="preserve">es after this were </w:t>
      </w:r>
      <w:r w:rsidR="00352C33" w:rsidRPr="00976D87">
        <w:rPr>
          <w:rFonts w:ascii="Arial" w:hAnsi="Arial" w:cs="Arial"/>
        </w:rPr>
        <w:t xml:space="preserve">broken down by </w:t>
      </w:r>
      <w:r w:rsidR="00352C33">
        <w:rPr>
          <w:rFonts w:ascii="Arial" w:hAnsi="Arial" w:cs="Arial"/>
        </w:rPr>
        <w:t>sub-category detailing the reason for loss of rented accommodation</w:t>
      </w:r>
      <w:r w:rsidR="00352C33" w:rsidRPr="00976D87">
        <w:rPr>
          <w:rFonts w:ascii="Arial" w:hAnsi="Arial" w:cs="Arial"/>
        </w:rPr>
        <w:t xml:space="preserve">. </w:t>
      </w:r>
    </w:p>
    <w:p w:rsidR="00F06A13" w:rsidRDefault="00F06A13" w:rsidP="00F06A13">
      <w:pPr>
        <w:pStyle w:val="ListParagraph"/>
        <w:ind w:left="0"/>
        <w:jc w:val="both"/>
        <w:rPr>
          <w:rFonts w:ascii="Arial" w:eastAsiaTheme="majorEastAsia" w:hAnsi="Arial" w:cs="Arial"/>
          <w:color w:val="0066FF" w:themeColor="accent1"/>
          <w:sz w:val="28"/>
          <w:szCs w:val="28"/>
          <w:lang w:eastAsia="en-US"/>
        </w:rPr>
      </w:pPr>
    </w:p>
    <w:p w:rsidR="00F06A13" w:rsidRPr="00976D87" w:rsidRDefault="00F06A13" w:rsidP="00F06A13">
      <w:pPr>
        <w:pStyle w:val="Subtitle"/>
        <w:spacing w:after="0"/>
        <w:rPr>
          <w:rFonts w:ascii="Arial" w:hAnsi="Arial" w:cs="Arial"/>
        </w:rPr>
      </w:pPr>
      <w:r w:rsidRPr="00976D87">
        <w:rPr>
          <w:rFonts w:ascii="Arial" w:hAnsi="Arial" w:cs="Arial"/>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sidR="00A42471">
        <w:rPr>
          <w:rFonts w:ascii="Arial" w:hAnsi="Arial" w:cs="Arial"/>
        </w:rPr>
        <w:t>Data which was reported in P</w:t>
      </w:r>
      <w:r>
        <w:rPr>
          <w:rFonts w:ascii="Arial" w:hAnsi="Arial" w:cs="Arial"/>
        </w:rPr>
        <w:t>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1 will now have an additional accepted case.  Cases may be concluded due to loss of contact with a household and reopened where the household re-establishes contact.</w:t>
      </w:r>
    </w:p>
    <w:p w:rsidR="00F06A13" w:rsidRPr="00D675C3" w:rsidRDefault="00F06A13" w:rsidP="00F06A13">
      <w:pPr>
        <w:jc w:val="both"/>
        <w:rPr>
          <w:rFonts w:ascii="Arial" w:eastAsiaTheme="majorEastAsia" w:hAnsi="Arial" w:cs="Arial"/>
          <w:color w:val="0066FF" w:themeColor="accent1"/>
          <w:sz w:val="28"/>
          <w:szCs w:val="28"/>
        </w:rPr>
      </w:pPr>
      <w:r w:rsidRPr="00D675C3">
        <w:rPr>
          <w:rFonts w:ascii="Arial" w:eastAsiaTheme="majorEastAsia" w:hAnsi="Arial" w:cs="Arial"/>
          <w:color w:val="0066FF" w:themeColor="accent1"/>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 xml:space="preserve">It should be noted that in 2017/18 an additional “presenting reason” field was included in the recording of homelessness cases.  Previously, cases were recorded by established reason </w:t>
      </w:r>
      <w:r w:rsidRPr="00976D87">
        <w:rPr>
          <w:rFonts w:ascii="Arial" w:hAnsi="Arial" w:cs="Arial"/>
        </w:rPr>
        <w:lastRenderedPageBreak/>
        <w:t>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580B48" w:rsidRDefault="00F06A13" w:rsidP="00F06A13">
      <w:pPr>
        <w:pStyle w:val="ListParagraph"/>
        <w:ind w:left="0"/>
        <w:jc w:val="both"/>
        <w:rPr>
          <w:rFonts w:ascii="Arial" w:eastAsiaTheme="majorEastAsia" w:hAnsi="Arial" w:cs="Arial"/>
          <w:color w:val="0066FF" w:themeColor="accent1"/>
          <w:sz w:val="28"/>
          <w:szCs w:val="28"/>
          <w:lang w:eastAsia="en-US"/>
        </w:rPr>
      </w:pPr>
      <w:r w:rsidRPr="00580B48">
        <w:rPr>
          <w:rFonts w:ascii="Arial" w:eastAsiaTheme="majorEastAsia" w:hAnsi="Arial" w:cs="Arial"/>
          <w:color w:val="0066FF" w:themeColor="accent1"/>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0" w:history="1">
        <w:r w:rsidR="005B2426">
          <w:rPr>
            <w:rStyle w:val="Hyperlink"/>
            <w:rFonts w:ascii="Arial" w:hAnsi="Arial" w:cs="Arial"/>
            <w:color w:val="0072BF" w:themeColor="accent6" w:themeShade="BF"/>
          </w:rPr>
          <w:t>Homelessness Statistics</w:t>
        </w:r>
      </w:hyperlink>
      <w:r w:rsidRPr="00352C33">
        <w:rPr>
          <w:rStyle w:val="Hyperlink"/>
          <w:rFonts w:ascii="Arial" w:hAnsi="Arial" w:cs="Arial"/>
          <w:color w:val="0072BF" w:themeColor="accent6" w:themeShade="BF"/>
        </w:rPr>
        <w:t>.</w:t>
      </w:r>
    </w:p>
    <w:p w:rsidR="00F06A13" w:rsidRPr="00976D87" w:rsidRDefault="00F06A13" w:rsidP="00F06A13">
      <w:pPr>
        <w:rPr>
          <w:rFonts w:ascii="Arial" w:hAnsi="Arial" w:cs="Arial"/>
        </w:rPr>
      </w:pPr>
      <w:r>
        <w:rPr>
          <w:rFonts w:ascii="Arial" w:hAnsi="Arial" w:cs="Arial"/>
        </w:rPr>
        <w:t xml:space="preserve">Scotland: </w:t>
      </w:r>
      <w:hyperlink r:id="rId11" w:history="1">
        <w:r w:rsidR="005B2426">
          <w:rPr>
            <w:rStyle w:val="Hyperlink"/>
            <w:rFonts w:ascii="Arial" w:hAnsi="Arial" w:cs="Arial"/>
            <w:color w:val="0072BF" w:themeColor="accent6" w:themeShade="BF"/>
          </w:rPr>
          <w:t>Housing Regeneration</w:t>
        </w:r>
      </w:hyperlink>
      <w:r w:rsidRPr="00352C33">
        <w:rPr>
          <w:rFonts w:ascii="Arial" w:hAnsi="Arial" w:cs="Arial"/>
          <w:color w:val="0072BF" w:themeColor="accent6" w:themeShade="BF"/>
        </w:rPr>
        <w:t>.</w:t>
      </w:r>
    </w:p>
    <w:p w:rsidR="00F06A13" w:rsidRPr="00352C33" w:rsidRDefault="00F06A13" w:rsidP="00F06A13">
      <w:pPr>
        <w:jc w:val="both"/>
        <w:rPr>
          <w:rFonts w:ascii="Arial" w:hAnsi="Arial" w:cs="Arial"/>
          <w:color w:val="0072BF" w:themeColor="accent6" w:themeShade="BF"/>
        </w:rPr>
      </w:pPr>
      <w:r>
        <w:rPr>
          <w:rFonts w:ascii="Arial" w:hAnsi="Arial" w:cs="Arial"/>
        </w:rPr>
        <w:t xml:space="preserve">Wales: </w:t>
      </w:r>
      <w:hyperlink r:id="rId12" w:history="1">
        <w:r w:rsidR="005B2426">
          <w:rPr>
            <w:rStyle w:val="Hyperlink"/>
            <w:rFonts w:ascii="Arial" w:hAnsi="Arial" w:cs="Arial"/>
            <w:color w:val="0072BF" w:themeColor="accent6" w:themeShade="BF"/>
          </w:rPr>
          <w:t>Homelessness statistics</w:t>
        </w:r>
      </w:hyperlink>
    </w:p>
    <w:p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3" w:history="1">
        <w:r w:rsidR="005B2426">
          <w:rPr>
            <w:rStyle w:val="Hyperlink"/>
            <w:rFonts w:ascii="Arial" w:hAnsi="Arial" w:cs="Arial"/>
            <w:color w:val="0072BF" w:themeColor="accent6" w:themeShade="BF"/>
          </w:rPr>
          <w:t xml:space="preserve"> GSS homelessness comparability report</w:t>
        </w:r>
      </w:hyperlink>
    </w:p>
    <w:p w:rsidR="00352C33" w:rsidRPr="00F06A13" w:rsidRDefault="00352C33" w:rsidP="00F06A13">
      <w:pPr>
        <w:jc w:val="both"/>
        <w:rPr>
          <w:rFonts w:ascii="Arial" w:hAnsi="Arial" w:cs="Arial"/>
        </w:rPr>
      </w:pPr>
    </w:p>
    <w:sectPr w:rsidR="00352C33" w:rsidRPr="00F06A13" w:rsidSect="00A80F3B">
      <w:head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11" w:rsidRDefault="00B72811" w:rsidP="003C7E86">
      <w:pPr>
        <w:spacing w:after="0" w:line="240" w:lineRule="auto"/>
      </w:pPr>
      <w:r>
        <w:separator/>
      </w:r>
    </w:p>
  </w:endnote>
  <w:endnote w:type="continuationSeparator" w:id="0">
    <w:p w:rsidR="00B72811" w:rsidRDefault="00B72811"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11" w:rsidRDefault="00B72811" w:rsidP="003C7E86">
      <w:pPr>
        <w:spacing w:after="0" w:line="240" w:lineRule="auto"/>
      </w:pPr>
      <w:r>
        <w:separator/>
      </w:r>
    </w:p>
  </w:footnote>
  <w:footnote w:type="continuationSeparator" w:id="0">
    <w:p w:rsidR="00B72811" w:rsidRDefault="00B72811"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7" w:type="pct"/>
      <w:tblInd w:w="-426" w:type="dxa"/>
      <w:tblCellMar>
        <w:top w:w="144" w:type="dxa"/>
        <w:left w:w="115" w:type="dxa"/>
        <w:bottom w:w="144" w:type="dxa"/>
        <w:right w:w="115" w:type="dxa"/>
      </w:tblCellMar>
      <w:tblLook w:val="04A0" w:firstRow="1" w:lastRow="0" w:firstColumn="1" w:lastColumn="0" w:noHBand="0" w:noVBand="1"/>
    </w:tblPr>
    <w:tblGrid>
      <w:gridCol w:w="5046"/>
      <w:gridCol w:w="342"/>
      <w:gridCol w:w="4559"/>
    </w:tblGrid>
    <w:tr w:rsidR="003C7E86" w:rsidTr="00ED7BF3">
      <w:trPr>
        <w:trHeight w:val="279"/>
      </w:trPr>
      <w:tc>
        <w:tcPr>
          <w:tcW w:w="5388" w:type="dxa"/>
          <w:gridSpan w:val="2"/>
          <w:shd w:val="clear" w:color="auto" w:fill="004C98" w:themeFill="accent4" w:themeFillShade="BF"/>
          <w:vAlign w:val="center"/>
        </w:tcPr>
        <w:p w:rsidR="003C7E86" w:rsidRPr="00CE0C08" w:rsidRDefault="00976D87" w:rsidP="00907AD6">
          <w:pPr>
            <w:pStyle w:val="Header"/>
            <w:ind w:left="27"/>
            <w:rPr>
              <w:b/>
              <w:caps/>
              <w:color w:val="FFFFFF" w:themeColor="background1"/>
              <w:sz w:val="18"/>
              <w:szCs w:val="18"/>
            </w:rPr>
          </w:pPr>
          <w:r>
            <w:rPr>
              <w:b/>
              <w:caps/>
              <w:color w:val="FFFFFF" w:themeColor="background1"/>
              <w:sz w:val="32"/>
              <w:szCs w:val="18"/>
            </w:rPr>
            <w:t>Homelessness Bulletin</w:t>
          </w:r>
          <w:r w:rsidR="00CE0C08" w:rsidRPr="00907AD6">
            <w:rPr>
              <w:b/>
              <w:caps/>
              <w:color w:val="FFFFFF" w:themeColor="background1"/>
              <w:sz w:val="32"/>
              <w:szCs w:val="18"/>
            </w:rPr>
            <w:t xml:space="preserve">  </w:t>
          </w:r>
        </w:p>
      </w:tc>
      <w:tc>
        <w:tcPr>
          <w:tcW w:w="4559" w:type="dxa"/>
          <w:shd w:val="clear" w:color="auto" w:fill="004C98" w:themeFill="accent4" w:themeFillShade="BF"/>
          <w:vAlign w:val="center"/>
        </w:tcPr>
        <w:p w:rsidR="003C7E86" w:rsidRPr="00907AD6" w:rsidRDefault="00976D87">
          <w:pPr>
            <w:pStyle w:val="Header"/>
            <w:jc w:val="right"/>
            <w:rPr>
              <w:b/>
              <w:caps/>
              <w:color w:val="FFFFFF" w:themeColor="background1"/>
              <w:sz w:val="32"/>
              <w:szCs w:val="18"/>
            </w:rPr>
          </w:pPr>
          <w:r>
            <w:rPr>
              <w:b/>
              <w:caps/>
              <w:color w:val="FFFFFF" w:themeColor="background1"/>
              <w:sz w:val="32"/>
              <w:szCs w:val="18"/>
            </w:rPr>
            <w:t>Quality Document</w:t>
          </w:r>
        </w:p>
      </w:tc>
    </w:tr>
    <w:tr w:rsidR="003C7E86" w:rsidTr="00ED7BF3">
      <w:trPr>
        <w:trHeight w:hRule="exact" w:val="151"/>
      </w:trPr>
      <w:tc>
        <w:tcPr>
          <w:tcW w:w="5046" w:type="dxa"/>
          <w:shd w:val="clear" w:color="auto" w:fill="0066FF"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901" w:type="dxa"/>
          <w:gridSpan w:val="2"/>
          <w:shd w:val="clear" w:color="auto" w:fill="0066FF"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B5115"/>
    <w:rsid w:val="000F6F17"/>
    <w:rsid w:val="00166A63"/>
    <w:rsid w:val="00197DE2"/>
    <w:rsid w:val="001A6B23"/>
    <w:rsid w:val="001B3605"/>
    <w:rsid w:val="001B5337"/>
    <w:rsid w:val="00243098"/>
    <w:rsid w:val="00246ACE"/>
    <w:rsid w:val="002A199F"/>
    <w:rsid w:val="002D3070"/>
    <w:rsid w:val="002D726E"/>
    <w:rsid w:val="00307E4E"/>
    <w:rsid w:val="00352C33"/>
    <w:rsid w:val="003C7E86"/>
    <w:rsid w:val="003D2288"/>
    <w:rsid w:val="003E595C"/>
    <w:rsid w:val="00412724"/>
    <w:rsid w:val="00476C50"/>
    <w:rsid w:val="004920C7"/>
    <w:rsid w:val="00492EA2"/>
    <w:rsid w:val="004C0A23"/>
    <w:rsid w:val="004E0CE8"/>
    <w:rsid w:val="004E69FF"/>
    <w:rsid w:val="005264DE"/>
    <w:rsid w:val="0055650F"/>
    <w:rsid w:val="00580B48"/>
    <w:rsid w:val="00583173"/>
    <w:rsid w:val="00592995"/>
    <w:rsid w:val="00595E71"/>
    <w:rsid w:val="005A034F"/>
    <w:rsid w:val="005B2426"/>
    <w:rsid w:val="005B699C"/>
    <w:rsid w:val="0061743C"/>
    <w:rsid w:val="006347DB"/>
    <w:rsid w:val="0063589F"/>
    <w:rsid w:val="00646AA7"/>
    <w:rsid w:val="006B60FB"/>
    <w:rsid w:val="006C699E"/>
    <w:rsid w:val="006D0431"/>
    <w:rsid w:val="00700E29"/>
    <w:rsid w:val="00724DC8"/>
    <w:rsid w:val="007336A0"/>
    <w:rsid w:val="007C6418"/>
    <w:rsid w:val="00817C73"/>
    <w:rsid w:val="008360D7"/>
    <w:rsid w:val="00897EC5"/>
    <w:rsid w:val="008D2D6F"/>
    <w:rsid w:val="00907AD6"/>
    <w:rsid w:val="00923F89"/>
    <w:rsid w:val="00932A6D"/>
    <w:rsid w:val="0093742A"/>
    <w:rsid w:val="00945906"/>
    <w:rsid w:val="00976D87"/>
    <w:rsid w:val="009B54E7"/>
    <w:rsid w:val="009F1648"/>
    <w:rsid w:val="00A42471"/>
    <w:rsid w:val="00A80F3B"/>
    <w:rsid w:val="00AB5503"/>
    <w:rsid w:val="00AC2268"/>
    <w:rsid w:val="00AE60A3"/>
    <w:rsid w:val="00AF4D82"/>
    <w:rsid w:val="00B6201E"/>
    <w:rsid w:val="00B72811"/>
    <w:rsid w:val="00B831AF"/>
    <w:rsid w:val="00B913EE"/>
    <w:rsid w:val="00BA32EC"/>
    <w:rsid w:val="00BE56AB"/>
    <w:rsid w:val="00BF3C5A"/>
    <w:rsid w:val="00C02BEF"/>
    <w:rsid w:val="00C50EB0"/>
    <w:rsid w:val="00C9563C"/>
    <w:rsid w:val="00CB194F"/>
    <w:rsid w:val="00CB3C39"/>
    <w:rsid w:val="00CE0C08"/>
    <w:rsid w:val="00CE2035"/>
    <w:rsid w:val="00CE48CE"/>
    <w:rsid w:val="00CE6DC5"/>
    <w:rsid w:val="00D131C3"/>
    <w:rsid w:val="00D675C3"/>
    <w:rsid w:val="00D916CD"/>
    <w:rsid w:val="00DE3B47"/>
    <w:rsid w:val="00E450BC"/>
    <w:rsid w:val="00E6687C"/>
    <w:rsid w:val="00E85CC8"/>
    <w:rsid w:val="00E96B02"/>
    <w:rsid w:val="00EC4763"/>
    <w:rsid w:val="00ED7BF3"/>
    <w:rsid w:val="00EE5906"/>
    <w:rsid w:val="00EE6BB9"/>
    <w:rsid w:val="00F06A13"/>
    <w:rsid w:val="00FB0BB0"/>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003380" w:themeColor="accent1" w:themeShade="80"/>
      <w:sz w:val="36"/>
      <w:szCs w:val="36"/>
    </w:rPr>
  </w:style>
  <w:style w:type="paragraph" w:styleId="Heading2">
    <w:name w:val="heading 2"/>
    <w:basedOn w:val="Normal"/>
    <w:next w:val="Normal"/>
    <w:link w:val="Heading2Char"/>
    <w:uiPriority w:val="9"/>
    <w:unhideWhenUsed/>
    <w:qFormat/>
    <w:rsid w:val="00907AD6"/>
    <w:pPr>
      <w:keepNext/>
      <w:keepLines/>
      <w:spacing w:before="40" w:after="0" w:line="240" w:lineRule="auto"/>
      <w:outlineLvl w:val="1"/>
    </w:pPr>
    <w:rPr>
      <w:rFonts w:asciiTheme="majorHAnsi" w:eastAsiaTheme="majorEastAsia" w:hAnsiTheme="majorHAnsi" w:cstheme="majorBidi"/>
      <w:color w:val="004CBF" w:themeColor="accent1" w:themeShade="BF"/>
      <w:sz w:val="32"/>
      <w:szCs w:val="32"/>
    </w:rPr>
  </w:style>
  <w:style w:type="paragraph" w:styleId="Heading3">
    <w:name w:val="heading 3"/>
    <w:basedOn w:val="Normal"/>
    <w:next w:val="Normal"/>
    <w:link w:val="Heading3Char"/>
    <w:uiPriority w:val="9"/>
    <w:unhideWhenUsed/>
    <w:qFormat/>
    <w:rsid w:val="00907AD6"/>
    <w:pPr>
      <w:keepNext/>
      <w:keepLines/>
      <w:spacing w:before="40" w:after="0" w:line="240" w:lineRule="auto"/>
      <w:outlineLvl w:val="2"/>
    </w:pPr>
    <w:rPr>
      <w:rFonts w:asciiTheme="majorHAnsi" w:eastAsiaTheme="majorEastAsia" w:hAnsiTheme="majorHAnsi" w:cstheme="majorBidi"/>
      <w:color w:val="004CBF"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004CBF"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004CBF"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003380"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003380"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003380"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0033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003380" w:themeColor="accent1" w:themeShade="80"/>
      <w:sz w:val="36"/>
      <w:szCs w:val="36"/>
    </w:rPr>
  </w:style>
  <w:style w:type="character" w:customStyle="1" w:styleId="Heading2Char">
    <w:name w:val="Heading 2 Char"/>
    <w:basedOn w:val="DefaultParagraphFont"/>
    <w:link w:val="Heading2"/>
    <w:uiPriority w:val="9"/>
    <w:rsid w:val="00907AD6"/>
    <w:rPr>
      <w:rFonts w:asciiTheme="majorHAnsi" w:eastAsiaTheme="majorEastAsia" w:hAnsiTheme="majorHAnsi" w:cstheme="majorBidi"/>
      <w:color w:val="004CBF" w:themeColor="accent1" w:themeShade="BF"/>
      <w:sz w:val="32"/>
      <w:szCs w:val="32"/>
    </w:rPr>
  </w:style>
  <w:style w:type="character" w:customStyle="1" w:styleId="Heading3Char">
    <w:name w:val="Heading 3 Char"/>
    <w:basedOn w:val="DefaultParagraphFont"/>
    <w:link w:val="Heading3"/>
    <w:uiPriority w:val="9"/>
    <w:rsid w:val="00907AD6"/>
    <w:rPr>
      <w:rFonts w:asciiTheme="majorHAnsi" w:eastAsiaTheme="majorEastAsia" w:hAnsiTheme="majorHAnsi" w:cstheme="majorBidi"/>
      <w:color w:val="004CBF"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004CBF"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004CBF"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003380"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003380"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003380"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003380"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444D26"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0066FF"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0066FF"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07AD6"/>
    <w:rPr>
      <w:color w:val="444D26"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444D26"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444D26"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0070C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120686800">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1759785209">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s://gss.civilservice.gov.uk/wp-content/uploads/2019/02/GSS-homelessness-repor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statistics-and-research/homelessness/?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Topics/Statistics/Browse/Housing%20Regeneration/RefTab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homelessness-statistics" TargetMode="Externa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0066FF"/>
      </a:accent1>
      <a:accent2>
        <a:srgbClr val="0070C0"/>
      </a:accent2>
      <a:accent3>
        <a:srgbClr val="3333FF"/>
      </a:accent3>
      <a:accent4>
        <a:srgbClr val="0066CC"/>
      </a:accent4>
      <a:accent5>
        <a:srgbClr val="6699FF"/>
      </a:accent5>
      <a:accent6>
        <a:srgbClr val="0099FF"/>
      </a:accent6>
      <a:hlink>
        <a:srgbClr val="333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B66E-A507-49F8-A3EA-A1F83BFC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Northern Ireland Homelessness Bulletin January-June 2020 Quality Background Report</vt:lpstr>
    </vt:vector>
  </TitlesOfParts>
  <Company>NICS</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Homelessness Bulletin January-June 2020 Quality Background Report</dc:title>
  <dc:subject/>
  <dc:creator>Katie.Fulton@communities-ni.gov.uk</dc:creator>
  <cp:keywords/>
  <dc:description/>
  <cp:lastModifiedBy>Katie Fulton</cp:lastModifiedBy>
  <cp:revision>5</cp:revision>
  <dcterms:created xsi:type="dcterms:W3CDTF">2021-01-08T12:06:00Z</dcterms:created>
  <dcterms:modified xsi:type="dcterms:W3CDTF">2021-03-04T15:35:00Z</dcterms:modified>
</cp:coreProperties>
</file>